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3013"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Phụ lục 2</w:t>
      </w:r>
    </w:p>
    <w:p w14:paraId="180318A1"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49D49627"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thuộc Mức 1, 2 và 3</w:t>
      </w:r>
    </w:p>
    <w:p w14:paraId="7B9142D0"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0EBD0DF1" w14:textId="60366DB4"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1</w:t>
      </w:r>
    </w:p>
    <w:p w14:paraId="05CC8B14" w14:textId="5613FEB1"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Tiêu chuẩn</w:t>
      </w:r>
      <w:r w:rsidR="00D70C85" w:rsidRPr="00F74296">
        <w:rPr>
          <w:b/>
          <w:szCs w:val="28"/>
          <w:lang w:val="da-DK"/>
        </w:rPr>
        <w:t xml:space="preserve"> </w:t>
      </w:r>
      <w:r w:rsidR="00005821" w:rsidRPr="00F74296">
        <w:rPr>
          <w:b/>
          <w:szCs w:val="28"/>
          <w:lang w:val="da-DK"/>
        </w:rPr>
        <w:t xml:space="preserve">1: Tổ chức và quản lý nhà trường </w:t>
      </w:r>
    </w:p>
    <w:p w14:paraId="13003E68" w14:textId="0CFEC42C" w:rsidR="00A20F9D" w:rsidRPr="007C5881" w:rsidRDefault="00A20F9D" w:rsidP="00A20F9D">
      <w:pPr>
        <w:widowControl w:val="0"/>
        <w:tabs>
          <w:tab w:val="left" w:pos="700"/>
          <w:tab w:val="left" w:pos="5040"/>
        </w:tabs>
        <w:spacing w:line="320" w:lineRule="exact"/>
        <w:ind w:firstLine="720"/>
        <w:outlineLvl w:val="2"/>
        <w:rPr>
          <w:sz w:val="26"/>
          <w:szCs w:val="26"/>
          <w:lang w:val="da-DK"/>
        </w:rPr>
      </w:pPr>
      <w:r w:rsidRPr="007C5881">
        <w:rPr>
          <w:i/>
          <w:sz w:val="26"/>
          <w:szCs w:val="26"/>
          <w:lang w:val="da-DK"/>
        </w:rPr>
        <w:t>Tiêu ch</w:t>
      </w:r>
      <w:r w:rsidR="00566218">
        <w:rPr>
          <w:i/>
          <w:sz w:val="26"/>
          <w:szCs w:val="26"/>
          <w:lang w:val="da-DK"/>
        </w:rPr>
        <w:t>í</w:t>
      </w:r>
      <w:r w:rsidR="00005821">
        <w:rPr>
          <w:i/>
          <w:sz w:val="26"/>
          <w:szCs w:val="26"/>
          <w:lang w:val="da-DK"/>
        </w:rPr>
        <w:t xml:space="preserve"> 2: Hội đồng trường (Hội đồng quản trị đối với trường tư thục) và các hội đồng khác</w:t>
      </w:r>
    </w:p>
    <w:p w14:paraId="7ADCE471" w14:textId="33A415EF" w:rsidR="007C5881" w:rsidRDefault="00A20F9D" w:rsidP="003B57E9">
      <w:pPr>
        <w:shd w:val="clear" w:color="auto" w:fill="FFFFFF"/>
        <w:spacing w:line="320" w:lineRule="exact"/>
        <w:ind w:firstLine="720"/>
        <w:jc w:val="both"/>
        <w:rPr>
          <w:rFonts w:ascii="Arial" w:hAnsi="Arial" w:cs="Arial"/>
          <w:color w:val="276F86"/>
          <w:sz w:val="26"/>
          <w:szCs w:val="26"/>
          <w:shd w:val="clear" w:color="auto" w:fill="F8FFFF"/>
        </w:rPr>
      </w:pPr>
      <w:r w:rsidRPr="007C5881">
        <w:rPr>
          <w:sz w:val="26"/>
          <w:szCs w:val="26"/>
          <w:lang w:val="nb-NO"/>
        </w:rPr>
        <w:t>Mức 1:</w:t>
      </w:r>
      <w:r w:rsidR="007C5881" w:rsidRPr="007C5881">
        <w:rPr>
          <w:rFonts w:ascii="Arial" w:hAnsi="Arial" w:cs="Arial"/>
          <w:color w:val="276F86"/>
          <w:sz w:val="26"/>
          <w:szCs w:val="26"/>
          <w:shd w:val="clear" w:color="auto" w:fill="F8FFFF"/>
        </w:rPr>
        <w:t xml:space="preserve"> </w:t>
      </w:r>
    </w:p>
    <w:p w14:paraId="02E8E16E" w14:textId="77777777" w:rsidR="006D753A" w:rsidRDefault="00E772F9">
      <w:pPr>
        <w:spacing w:before="120" w:after="120"/>
        <w:jc w:val="both"/>
      </w:pPr>
      <w:r>
        <w:rPr>
          <w:sz w:val="26"/>
        </w:rPr>
        <w:tab/>
        <w:t>a) Được thành lập theo quy định;</w:t>
      </w:r>
    </w:p>
    <w:p w14:paraId="3B1CDD27" w14:textId="77777777" w:rsidR="006D753A" w:rsidRDefault="00E772F9">
      <w:pPr>
        <w:spacing w:before="120" w:after="120"/>
        <w:jc w:val="both"/>
      </w:pPr>
      <w:r>
        <w:rPr>
          <w:sz w:val="26"/>
        </w:rPr>
        <w:tab/>
        <w:t>b) Thực hiện chức năng, nhiệm vụ và quyền hạn theo quy định;</w:t>
      </w:r>
    </w:p>
    <w:p w14:paraId="5D5CF0BE" w14:textId="77777777" w:rsidR="006D753A" w:rsidRDefault="00E772F9">
      <w:pPr>
        <w:spacing w:before="120" w:after="120"/>
        <w:jc w:val="both"/>
      </w:pPr>
      <w:r>
        <w:rPr>
          <w:sz w:val="26"/>
        </w:rPr>
        <w:tab/>
        <w:t>c) Các hoạt động được định kỳ rà soát, đánh giá.</w:t>
      </w:r>
    </w:p>
    <w:p w14:paraId="1EA1FEB0" w14:textId="2A790954" w:rsidR="003B57E9" w:rsidRDefault="00A20F9D" w:rsidP="007C5881">
      <w:pPr>
        <w:spacing w:line="320" w:lineRule="exact"/>
        <w:ind w:firstLine="720"/>
        <w:jc w:val="both"/>
        <w:rPr>
          <w:sz w:val="26"/>
          <w:szCs w:val="26"/>
          <w:lang w:val="nb-NO"/>
        </w:rPr>
      </w:pPr>
      <w:r w:rsidRPr="007C5881">
        <w:rPr>
          <w:sz w:val="26"/>
          <w:szCs w:val="26"/>
          <w:lang w:val="nb-NO"/>
        </w:rPr>
        <w:t>Mức 2:</w:t>
      </w:r>
    </w:p>
    <w:p w14:paraId="518C961E" w14:textId="77777777" w:rsidR="006D753A" w:rsidRDefault="00E772F9">
      <w:pPr>
        <w:spacing w:before="120" w:after="120"/>
        <w:jc w:val="both"/>
      </w:pPr>
      <w:r>
        <w:rPr>
          <w:sz w:val="26"/>
        </w:rPr>
        <w:tab/>
        <w:t>Hoạt động có hiệu quả, góp phần nâng cao chất lượng giáo dục của nhà trường.</w:t>
      </w:r>
    </w:p>
    <w:p w14:paraId="52A9EBF1" w14:textId="207709C3" w:rsidR="00A20F9D" w:rsidRDefault="00A20F9D" w:rsidP="003B57E9">
      <w:pPr>
        <w:spacing w:line="320" w:lineRule="exact"/>
        <w:ind w:firstLine="720"/>
        <w:jc w:val="both"/>
        <w:rPr>
          <w:sz w:val="26"/>
          <w:szCs w:val="26"/>
          <w:lang w:val="nb-NO"/>
        </w:rPr>
      </w:pPr>
      <w:r w:rsidRPr="007C5881">
        <w:rPr>
          <w:sz w:val="26"/>
          <w:szCs w:val="26"/>
          <w:lang w:val="nb-NO"/>
        </w:rPr>
        <w:t>Mức 3:</w:t>
      </w:r>
    </w:p>
    <w:tbl>
      <w:tblPr>
        <w:tblW w:w="113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006"/>
        <w:gridCol w:w="2580"/>
        <w:gridCol w:w="1814"/>
        <w:gridCol w:w="1265"/>
        <w:gridCol w:w="15"/>
        <w:gridCol w:w="1239"/>
        <w:gridCol w:w="15"/>
      </w:tblGrid>
      <w:tr w:rsidR="00F84B1A" w:rsidRPr="00001753" w14:paraId="15D22641" w14:textId="77777777" w:rsidTr="00FE5F28">
        <w:trPr>
          <w:tblHeader/>
        </w:trPr>
        <w:tc>
          <w:tcPr>
            <w:tcW w:w="1389" w:type="dxa"/>
            <w:vMerge w:val="restart"/>
            <w:shd w:val="clear" w:color="auto" w:fill="auto"/>
          </w:tcPr>
          <w:p w14:paraId="5BCD5A82"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701624E2" w14:textId="2E7E6214"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1.2</w:t>
            </w:r>
          </w:p>
        </w:tc>
        <w:tc>
          <w:tcPr>
            <w:tcW w:w="3006" w:type="dxa"/>
            <w:vMerge w:val="restart"/>
            <w:shd w:val="clear" w:color="auto" w:fill="auto"/>
          </w:tcPr>
          <w:p w14:paraId="1C91F561"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2580" w:type="dxa"/>
            <w:vMerge w:val="restart"/>
            <w:shd w:val="clear" w:color="auto" w:fill="auto"/>
          </w:tcPr>
          <w:p w14:paraId="267F46B5"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7BC857A1"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3094" w:type="dxa"/>
            <w:gridSpan w:val="3"/>
            <w:shd w:val="clear" w:color="auto" w:fill="auto"/>
          </w:tcPr>
          <w:p w14:paraId="4FD6BF70"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254" w:type="dxa"/>
            <w:gridSpan w:val="2"/>
            <w:shd w:val="clear" w:color="auto" w:fill="auto"/>
          </w:tcPr>
          <w:p w14:paraId="7C7B0094"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010EE7AD" w14:textId="77777777" w:rsidTr="00FE5F28">
        <w:trPr>
          <w:gridAfter w:val="1"/>
          <w:wAfter w:w="15" w:type="dxa"/>
          <w:tblHeader/>
        </w:trPr>
        <w:tc>
          <w:tcPr>
            <w:tcW w:w="1389" w:type="dxa"/>
            <w:vMerge/>
            <w:shd w:val="clear" w:color="auto" w:fill="auto"/>
          </w:tcPr>
          <w:p w14:paraId="3A124216" w14:textId="77777777" w:rsidR="00D70C85" w:rsidRPr="00001753" w:rsidRDefault="00D70C85" w:rsidP="00B73342">
            <w:pPr>
              <w:widowControl w:val="0"/>
              <w:spacing w:line="340" w:lineRule="exact"/>
              <w:jc w:val="center"/>
              <w:rPr>
                <w:rFonts w:eastAsia="MS Mincho"/>
                <w:b/>
                <w:bCs/>
                <w:sz w:val="26"/>
                <w:szCs w:val="26"/>
              </w:rPr>
            </w:pPr>
          </w:p>
        </w:tc>
        <w:tc>
          <w:tcPr>
            <w:tcW w:w="3006" w:type="dxa"/>
            <w:vMerge/>
            <w:shd w:val="clear" w:color="auto" w:fill="auto"/>
          </w:tcPr>
          <w:p w14:paraId="697E21DA" w14:textId="77777777" w:rsidR="00D70C85" w:rsidRPr="00001753" w:rsidRDefault="00D70C85" w:rsidP="00B73342">
            <w:pPr>
              <w:widowControl w:val="0"/>
              <w:spacing w:line="340" w:lineRule="exact"/>
              <w:jc w:val="center"/>
              <w:rPr>
                <w:rFonts w:eastAsia="MS Mincho"/>
                <w:bCs/>
                <w:sz w:val="26"/>
                <w:szCs w:val="26"/>
              </w:rPr>
            </w:pPr>
          </w:p>
        </w:tc>
        <w:tc>
          <w:tcPr>
            <w:tcW w:w="2580" w:type="dxa"/>
            <w:vMerge/>
            <w:shd w:val="clear" w:color="auto" w:fill="auto"/>
          </w:tcPr>
          <w:p w14:paraId="26E59C90" w14:textId="77777777" w:rsidR="00D70C85" w:rsidRPr="00001753" w:rsidRDefault="00D70C85" w:rsidP="00B73342">
            <w:pPr>
              <w:widowControl w:val="0"/>
              <w:spacing w:line="340" w:lineRule="exact"/>
              <w:jc w:val="center"/>
              <w:rPr>
                <w:rFonts w:eastAsia="MS Mincho"/>
                <w:bCs/>
                <w:sz w:val="26"/>
                <w:szCs w:val="26"/>
              </w:rPr>
            </w:pPr>
          </w:p>
        </w:tc>
        <w:tc>
          <w:tcPr>
            <w:tcW w:w="1814" w:type="dxa"/>
            <w:shd w:val="clear" w:color="auto" w:fill="auto"/>
          </w:tcPr>
          <w:p w14:paraId="51B3F729"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265" w:type="dxa"/>
            <w:shd w:val="clear" w:color="auto" w:fill="auto"/>
          </w:tcPr>
          <w:p w14:paraId="001DB83D"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254" w:type="dxa"/>
            <w:gridSpan w:val="2"/>
            <w:shd w:val="clear" w:color="auto" w:fill="auto"/>
          </w:tcPr>
          <w:p w14:paraId="0F31B58F"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226586E2" w14:textId="77777777" w:rsidTr="00FE5F28">
        <w:trPr>
          <w:gridAfter w:val="1"/>
          <w:wAfter w:w="15" w:type="dxa"/>
        </w:trPr>
        <w:tc>
          <w:tcPr>
            <w:tcW w:w="1389" w:type="dxa"/>
            <w:shd w:val="clear" w:color="auto" w:fill="auto"/>
          </w:tcPr>
          <w:p w14:paraId="1967E8B9" w14:textId="77777777" w:rsidR="006D753A" w:rsidRDefault="00E772F9">
            <w:pPr>
              <w:spacing w:before="120" w:after="120"/>
              <w:jc w:val="both"/>
            </w:pPr>
            <w:r>
              <w:t>Mức 1</w:t>
            </w:r>
          </w:p>
        </w:tc>
        <w:tc>
          <w:tcPr>
            <w:tcW w:w="3006" w:type="dxa"/>
            <w:shd w:val="clear" w:color="auto" w:fill="auto"/>
          </w:tcPr>
          <w:p w14:paraId="4257C34B" w14:textId="77777777" w:rsidR="006D753A" w:rsidRDefault="006D753A"/>
        </w:tc>
        <w:tc>
          <w:tcPr>
            <w:tcW w:w="2580" w:type="dxa"/>
            <w:shd w:val="clear" w:color="auto" w:fill="auto"/>
          </w:tcPr>
          <w:p w14:paraId="3BEBF607" w14:textId="77777777" w:rsidR="006D753A" w:rsidRDefault="006D753A"/>
        </w:tc>
        <w:tc>
          <w:tcPr>
            <w:tcW w:w="1814" w:type="dxa"/>
            <w:shd w:val="clear" w:color="auto" w:fill="auto"/>
          </w:tcPr>
          <w:p w14:paraId="664A45F4" w14:textId="77777777" w:rsidR="006D753A" w:rsidRDefault="006D753A"/>
        </w:tc>
        <w:tc>
          <w:tcPr>
            <w:tcW w:w="1265" w:type="dxa"/>
            <w:shd w:val="clear" w:color="auto" w:fill="auto"/>
          </w:tcPr>
          <w:p w14:paraId="4A6A928F" w14:textId="77777777" w:rsidR="006D753A" w:rsidRDefault="006D753A"/>
        </w:tc>
        <w:tc>
          <w:tcPr>
            <w:tcW w:w="1254" w:type="dxa"/>
            <w:gridSpan w:val="2"/>
            <w:shd w:val="clear" w:color="auto" w:fill="auto"/>
          </w:tcPr>
          <w:p w14:paraId="75854785" w14:textId="77777777" w:rsidR="006D753A" w:rsidRDefault="006D753A"/>
        </w:tc>
      </w:tr>
      <w:tr w:rsidR="00F84B1A" w:rsidRPr="00001753" w14:paraId="1F180E9B" w14:textId="77777777" w:rsidTr="00FE5F28">
        <w:trPr>
          <w:gridAfter w:val="1"/>
          <w:wAfter w:w="15" w:type="dxa"/>
        </w:trPr>
        <w:tc>
          <w:tcPr>
            <w:tcW w:w="1389" w:type="dxa"/>
            <w:shd w:val="clear" w:color="auto" w:fill="auto"/>
          </w:tcPr>
          <w:p w14:paraId="1515B5C6" w14:textId="77777777" w:rsidR="006D753A" w:rsidRDefault="00E772F9">
            <w:pPr>
              <w:spacing w:before="120" w:after="120"/>
              <w:jc w:val="both"/>
            </w:pPr>
            <w:r>
              <w:t>a</w:t>
            </w:r>
          </w:p>
        </w:tc>
        <w:tc>
          <w:tcPr>
            <w:tcW w:w="3006" w:type="dxa"/>
            <w:shd w:val="clear" w:color="auto" w:fill="auto"/>
          </w:tcPr>
          <w:p w14:paraId="7CEB3B87" w14:textId="77777777" w:rsidR="006D753A" w:rsidRDefault="00E772F9">
            <w:pPr>
              <w:spacing w:before="120" w:after="120"/>
              <w:jc w:val="both"/>
            </w:pPr>
            <w:r>
              <w:rPr>
                <w:sz w:val="26"/>
              </w:rPr>
              <w:t>1) Hội đồng trường (Hội đồng quản trị đối với trường tư thục):</w:t>
            </w:r>
          </w:p>
          <w:p w14:paraId="675798A3" w14:textId="77777777" w:rsidR="006D753A" w:rsidRDefault="00E772F9">
            <w:pPr>
              <w:spacing w:before="120" w:after="120"/>
              <w:jc w:val="both"/>
            </w:pPr>
            <w:r>
              <w:rPr>
                <w:sz w:val="26"/>
              </w:rPr>
              <w:t xml:space="preserve">+Hội đồng trường đối với trường trung học cơ sở, trung học phổ thông và trường phổ thông có nhiều cấp học (sau đây gọi tắt là trường trung học) công lập được thành lập theo Điều 20 Thông tư số 12/2011/TT-BGDĐT ngày 28 tháng 3 năm 2011 của Bộ trưởng Bộ GDĐT ban hành Điều lệ trường trung học cơ sở, trung học phổ thông và trường phổ thông có nhiều cấp học (sau đây </w:t>
            </w:r>
            <w:r>
              <w:rPr>
                <w:sz w:val="26"/>
              </w:rPr>
              <w:lastRenderedPageBreak/>
              <w:t>gọi tắt là Điều lệ trường trung học);</w:t>
            </w:r>
          </w:p>
          <w:p w14:paraId="268782F4" w14:textId="77777777" w:rsidR="006D753A" w:rsidRDefault="00E772F9">
            <w:pPr>
              <w:spacing w:before="120" w:after="120"/>
              <w:jc w:val="both"/>
            </w:pPr>
            <w:r>
              <w:rPr>
                <w:sz w:val="26"/>
              </w:rPr>
              <w:t>+ Đối với trường trung học tư thục có Hội đồng quản trị: Hội đồng quản trị là Hội đồng trường hoặc Hội đồng quản trị có thể đề nghị thành lập Hội đồng trường mở rộng; Trường trung học tư thục không có Hội đồng quản trị: Nhà đầu tư đề nghị thành lập và tham gia Hội đồng trường.</w:t>
            </w:r>
          </w:p>
          <w:p w14:paraId="37B78709" w14:textId="77777777" w:rsidR="006D753A" w:rsidRDefault="00E772F9">
            <w:pPr>
              <w:spacing w:before="120" w:after="120"/>
              <w:jc w:val="both"/>
            </w:pPr>
            <w:r>
              <w:rPr>
                <w:sz w:val="26"/>
              </w:rPr>
              <w:t>2) Các hội đồng khác:</w:t>
            </w:r>
          </w:p>
          <w:p w14:paraId="16C4272F" w14:textId="77777777" w:rsidR="006D753A" w:rsidRDefault="00E772F9">
            <w:pPr>
              <w:spacing w:before="120" w:after="120"/>
              <w:jc w:val="both"/>
            </w:pPr>
            <w:r>
              <w:rPr>
                <w:sz w:val="26"/>
              </w:rPr>
              <w:t>+ Hội đồng thi đua, khen thưởng:</w:t>
            </w:r>
          </w:p>
          <w:p w14:paraId="7E1FF16A" w14:textId="77777777" w:rsidR="006D753A" w:rsidRDefault="00E772F9">
            <w:pPr>
              <w:spacing w:before="120" w:after="120"/>
              <w:jc w:val="both"/>
            </w:pPr>
            <w:r>
              <w:rPr>
                <w:sz w:val="26"/>
              </w:rPr>
              <w:t>+ Hội đồng kỷ luật (nếu có);</w:t>
            </w:r>
          </w:p>
          <w:p w14:paraId="2A7D6A51" w14:textId="77777777" w:rsidR="006D753A" w:rsidRDefault="00E772F9">
            <w:pPr>
              <w:spacing w:before="120" w:after="120"/>
              <w:jc w:val="both"/>
            </w:pPr>
            <w:r>
              <w:rPr>
                <w:sz w:val="26"/>
              </w:rPr>
              <w:t>+Hội đồng tư vấn (Trường hợp cần thiết, hiệu trưởng có thể thành lập các hội đồng tư vấn giúp hiệu trưởng về chuyên môn, quản lý nhà trường. Nhiệm vụ, quyền hạn, thành phần và thời gian hoạt động của các hội đồng tư vấn do hiệu trưởng quy định. Ví dụ: Hội đồng chấm đề tài, sáng kiến kinh nghiệm; hội đồng chấm thi giáo viên giỏi,...).</w:t>
            </w:r>
          </w:p>
        </w:tc>
        <w:tc>
          <w:tcPr>
            <w:tcW w:w="2580" w:type="dxa"/>
            <w:shd w:val="clear" w:color="auto" w:fill="auto"/>
          </w:tcPr>
          <w:p w14:paraId="2864742D" w14:textId="77777777" w:rsidR="006D753A" w:rsidRDefault="00E772F9">
            <w:pPr>
              <w:spacing w:before="120" w:after="120"/>
              <w:jc w:val="both"/>
            </w:pPr>
            <w:r>
              <w:rPr>
                <w:sz w:val="26"/>
              </w:rPr>
              <w:lastRenderedPageBreak/>
              <w:t>Nhà trường có Hội đồng trường, Hội đồng thi đua, khen thưởng, Hội đồng tư vấn, Hội đồng kỷ luật không?</w:t>
            </w:r>
          </w:p>
        </w:tc>
        <w:tc>
          <w:tcPr>
            <w:tcW w:w="1814" w:type="dxa"/>
            <w:shd w:val="clear" w:color="auto" w:fill="auto"/>
          </w:tcPr>
          <w:p w14:paraId="30C9B884" w14:textId="77777777" w:rsidR="006D753A" w:rsidRDefault="00E772F9">
            <w:pPr>
              <w:spacing w:before="120" w:after="120"/>
              <w:jc w:val="both"/>
            </w:pPr>
            <w:r>
              <w:rPr>
                <w:sz w:val="26"/>
              </w:rPr>
              <w:t>Quyết định thành lập Hội đồng trường; quyết định các Hội đồng khác theo quy định hàng năm.</w:t>
            </w:r>
          </w:p>
        </w:tc>
        <w:tc>
          <w:tcPr>
            <w:tcW w:w="1265" w:type="dxa"/>
            <w:shd w:val="clear" w:color="auto" w:fill="auto"/>
          </w:tcPr>
          <w:p w14:paraId="45B87572" w14:textId="77777777" w:rsidR="006D753A" w:rsidRDefault="00E772F9">
            <w:pPr>
              <w:spacing w:before="120" w:after="120"/>
              <w:jc w:val="both"/>
            </w:pPr>
            <w:r>
              <w:rPr>
                <w:sz w:val="26"/>
              </w:rPr>
              <w:t>Văn thư.</w:t>
            </w:r>
          </w:p>
        </w:tc>
        <w:tc>
          <w:tcPr>
            <w:tcW w:w="1254" w:type="dxa"/>
            <w:gridSpan w:val="2"/>
            <w:shd w:val="clear" w:color="auto" w:fill="auto"/>
          </w:tcPr>
          <w:p w14:paraId="507E79EB" w14:textId="77777777" w:rsidR="006D753A" w:rsidRDefault="006D753A"/>
        </w:tc>
      </w:tr>
      <w:tr w:rsidR="00F84B1A" w:rsidRPr="00001753" w14:paraId="06FFE56E" w14:textId="77777777" w:rsidTr="00FE5F28">
        <w:trPr>
          <w:gridAfter w:val="1"/>
          <w:wAfter w:w="15" w:type="dxa"/>
        </w:trPr>
        <w:tc>
          <w:tcPr>
            <w:tcW w:w="1389" w:type="dxa"/>
            <w:shd w:val="clear" w:color="auto" w:fill="auto"/>
          </w:tcPr>
          <w:p w14:paraId="78F508CD" w14:textId="77777777" w:rsidR="006D753A" w:rsidRDefault="00E772F9">
            <w:pPr>
              <w:spacing w:before="120" w:after="120"/>
              <w:jc w:val="both"/>
            </w:pPr>
            <w:r>
              <w:t>b</w:t>
            </w:r>
          </w:p>
        </w:tc>
        <w:tc>
          <w:tcPr>
            <w:tcW w:w="3006" w:type="dxa"/>
            <w:shd w:val="clear" w:color="auto" w:fill="auto"/>
          </w:tcPr>
          <w:p w14:paraId="6B5F9F06" w14:textId="77777777" w:rsidR="006D753A" w:rsidRDefault="00E772F9">
            <w:pPr>
              <w:spacing w:before="120" w:after="120"/>
              <w:jc w:val="both"/>
            </w:pPr>
            <w:r>
              <w:rPr>
                <w:sz w:val="26"/>
              </w:rPr>
              <w:t xml:space="preserve">1) Thực hiện chức năng, nhiệm vụ, quyền hạn của Hội đồng trường (đối với trường trung học công lập) </w:t>
            </w:r>
            <w:r>
              <w:rPr>
                <w:sz w:val="26"/>
              </w:rPr>
              <w:lastRenderedPageBreak/>
              <w:t>theo quy định tại Điều 20 Điều lệ trường trung học.</w:t>
            </w:r>
          </w:p>
          <w:p w14:paraId="4E64A170" w14:textId="77777777" w:rsidR="006D753A" w:rsidRDefault="00E772F9">
            <w:pPr>
              <w:spacing w:before="120" w:after="120"/>
              <w:jc w:val="both"/>
            </w:pPr>
            <w:r>
              <w:rPr>
                <w:sz w:val="26"/>
              </w:rPr>
              <w:t>2) Nhiệm vụ, quyền hạn, thủ tục thành lập, cơ cấu tổ chức và hoạt động của Hội đồng trường của trường tư thục được thực hiện theo Quy chế tổ chức và hoạt động của trường tiểu học, trường trung học cơ sở, trường trung học phổ thông và trường phổ thông có nhiều cấp học loại hình tư thục.</w:t>
            </w:r>
          </w:p>
          <w:p w14:paraId="05923410" w14:textId="77777777" w:rsidR="006D753A" w:rsidRDefault="00E772F9">
            <w:pPr>
              <w:spacing w:before="120" w:after="120"/>
              <w:jc w:val="both"/>
            </w:pPr>
            <w:r>
              <w:rPr>
                <w:sz w:val="26"/>
              </w:rPr>
              <w:t>3) Đối với các thi đua, khen thưởng, hội đồng kỷ luật, hội đồng khác thực hiện chức năng, nhiệm vụ, quyền hạn theo quy định tại Điều 21 Điều lệ trường trung học.</w:t>
            </w:r>
          </w:p>
        </w:tc>
        <w:tc>
          <w:tcPr>
            <w:tcW w:w="2580" w:type="dxa"/>
            <w:shd w:val="clear" w:color="auto" w:fill="auto"/>
          </w:tcPr>
          <w:p w14:paraId="54E3EC47" w14:textId="77777777" w:rsidR="006D753A" w:rsidRDefault="00E772F9">
            <w:pPr>
              <w:spacing w:before="120" w:after="120"/>
              <w:jc w:val="both"/>
            </w:pPr>
            <w:r>
              <w:rPr>
                <w:sz w:val="26"/>
              </w:rPr>
              <w:lastRenderedPageBreak/>
              <w:t xml:space="preserve">Hội đồng trường và các Hội đồng khác có thực hiện chức năng, </w:t>
            </w:r>
            <w:r>
              <w:rPr>
                <w:sz w:val="26"/>
              </w:rPr>
              <w:lastRenderedPageBreak/>
              <w:t>nhiệm vụ, quyền hạn theo quy định không?</w:t>
            </w:r>
          </w:p>
        </w:tc>
        <w:tc>
          <w:tcPr>
            <w:tcW w:w="1814" w:type="dxa"/>
            <w:shd w:val="clear" w:color="auto" w:fill="auto"/>
          </w:tcPr>
          <w:p w14:paraId="46EC4EE9" w14:textId="77777777" w:rsidR="006D753A" w:rsidRDefault="00E772F9">
            <w:pPr>
              <w:spacing w:before="120" w:after="120"/>
              <w:jc w:val="both"/>
            </w:pPr>
            <w:r>
              <w:rPr>
                <w:sz w:val="26"/>
              </w:rPr>
              <w:lastRenderedPageBreak/>
              <w:t>Sổ nghị quyết nhà trường, hồ sơ thi đua.</w:t>
            </w:r>
          </w:p>
        </w:tc>
        <w:tc>
          <w:tcPr>
            <w:tcW w:w="1265" w:type="dxa"/>
            <w:shd w:val="clear" w:color="auto" w:fill="auto"/>
          </w:tcPr>
          <w:p w14:paraId="729C28CB" w14:textId="77777777" w:rsidR="006D753A" w:rsidRDefault="00E772F9">
            <w:pPr>
              <w:spacing w:before="120" w:after="120"/>
              <w:jc w:val="both"/>
            </w:pPr>
            <w:r>
              <w:rPr>
                <w:sz w:val="26"/>
              </w:rPr>
              <w:t>Văn thư.</w:t>
            </w:r>
          </w:p>
        </w:tc>
        <w:tc>
          <w:tcPr>
            <w:tcW w:w="1254" w:type="dxa"/>
            <w:gridSpan w:val="2"/>
            <w:shd w:val="clear" w:color="auto" w:fill="auto"/>
          </w:tcPr>
          <w:p w14:paraId="6BD5E004" w14:textId="77777777" w:rsidR="006D753A" w:rsidRDefault="006D753A"/>
        </w:tc>
      </w:tr>
      <w:tr w:rsidR="00F84B1A" w:rsidRPr="00001753" w14:paraId="7786DF1A" w14:textId="77777777" w:rsidTr="00FE5F28">
        <w:trPr>
          <w:gridAfter w:val="1"/>
          <w:wAfter w:w="15" w:type="dxa"/>
        </w:trPr>
        <w:tc>
          <w:tcPr>
            <w:tcW w:w="1389" w:type="dxa"/>
            <w:shd w:val="clear" w:color="auto" w:fill="auto"/>
          </w:tcPr>
          <w:p w14:paraId="221156B3" w14:textId="77777777" w:rsidR="006D753A" w:rsidRDefault="00E772F9">
            <w:pPr>
              <w:spacing w:before="120" w:after="120"/>
              <w:jc w:val="both"/>
            </w:pPr>
            <w:r>
              <w:t>c</w:t>
            </w:r>
          </w:p>
        </w:tc>
        <w:tc>
          <w:tcPr>
            <w:tcW w:w="3006" w:type="dxa"/>
            <w:shd w:val="clear" w:color="auto" w:fill="auto"/>
          </w:tcPr>
          <w:p w14:paraId="0E37CB2D" w14:textId="77777777" w:rsidR="006D753A" w:rsidRDefault="00E772F9">
            <w:pPr>
              <w:spacing w:before="120" w:after="120"/>
              <w:jc w:val="both"/>
            </w:pPr>
            <w:r>
              <w:rPr>
                <w:sz w:val="26"/>
              </w:rPr>
              <w:t>Hoạt động của các hội đồng định kỳ được thực hiện rà soát, đánh giá.</w:t>
            </w:r>
          </w:p>
        </w:tc>
        <w:tc>
          <w:tcPr>
            <w:tcW w:w="2580" w:type="dxa"/>
            <w:shd w:val="clear" w:color="auto" w:fill="auto"/>
          </w:tcPr>
          <w:p w14:paraId="0D7A2F07" w14:textId="77777777" w:rsidR="006D753A" w:rsidRDefault="00E772F9">
            <w:pPr>
              <w:spacing w:before="120" w:after="120"/>
              <w:jc w:val="both"/>
            </w:pPr>
            <w:r>
              <w:rPr>
                <w:sz w:val="26"/>
              </w:rPr>
              <w:t>Hội đồng trường và các Hội đồng khác có định kỳ rà soát, đánh giá không?</w:t>
            </w:r>
          </w:p>
        </w:tc>
        <w:tc>
          <w:tcPr>
            <w:tcW w:w="1814" w:type="dxa"/>
            <w:shd w:val="clear" w:color="auto" w:fill="auto"/>
          </w:tcPr>
          <w:p w14:paraId="236AE36E" w14:textId="77777777" w:rsidR="006D753A" w:rsidRDefault="00E772F9">
            <w:pPr>
              <w:spacing w:before="120" w:after="120"/>
              <w:jc w:val="both"/>
            </w:pPr>
            <w:r>
              <w:rPr>
                <w:sz w:val="26"/>
              </w:rPr>
              <w:t>Sổ nghị quyết nhà trường.</w:t>
            </w:r>
          </w:p>
        </w:tc>
        <w:tc>
          <w:tcPr>
            <w:tcW w:w="1265" w:type="dxa"/>
            <w:shd w:val="clear" w:color="auto" w:fill="auto"/>
          </w:tcPr>
          <w:p w14:paraId="56A3BC2A" w14:textId="77777777" w:rsidR="006D753A" w:rsidRDefault="00E772F9">
            <w:pPr>
              <w:spacing w:before="120" w:after="120"/>
              <w:jc w:val="both"/>
            </w:pPr>
            <w:r>
              <w:rPr>
                <w:sz w:val="26"/>
              </w:rPr>
              <w:t>Văn thư.</w:t>
            </w:r>
          </w:p>
        </w:tc>
        <w:tc>
          <w:tcPr>
            <w:tcW w:w="1254" w:type="dxa"/>
            <w:gridSpan w:val="2"/>
            <w:shd w:val="clear" w:color="auto" w:fill="auto"/>
          </w:tcPr>
          <w:p w14:paraId="627682DA" w14:textId="77777777" w:rsidR="006D753A" w:rsidRDefault="006D753A"/>
        </w:tc>
      </w:tr>
      <w:tr w:rsidR="00F84B1A" w:rsidRPr="00001753" w14:paraId="4173410C" w14:textId="77777777" w:rsidTr="00FE5F28">
        <w:trPr>
          <w:gridAfter w:val="1"/>
          <w:wAfter w:w="15" w:type="dxa"/>
        </w:trPr>
        <w:tc>
          <w:tcPr>
            <w:tcW w:w="1389" w:type="dxa"/>
            <w:shd w:val="clear" w:color="auto" w:fill="auto"/>
          </w:tcPr>
          <w:p w14:paraId="0C29D698" w14:textId="77777777" w:rsidR="006D753A" w:rsidRDefault="00E772F9">
            <w:pPr>
              <w:spacing w:before="120" w:after="120"/>
              <w:jc w:val="both"/>
            </w:pPr>
            <w:r>
              <w:t>Mức 2</w:t>
            </w:r>
          </w:p>
        </w:tc>
        <w:tc>
          <w:tcPr>
            <w:tcW w:w="3006" w:type="dxa"/>
            <w:shd w:val="clear" w:color="auto" w:fill="auto"/>
          </w:tcPr>
          <w:p w14:paraId="3C1A394B" w14:textId="77777777" w:rsidR="006D753A" w:rsidRDefault="006D753A"/>
        </w:tc>
        <w:tc>
          <w:tcPr>
            <w:tcW w:w="2580" w:type="dxa"/>
            <w:shd w:val="clear" w:color="auto" w:fill="auto"/>
          </w:tcPr>
          <w:p w14:paraId="5514D54D" w14:textId="77777777" w:rsidR="006D753A" w:rsidRDefault="006D753A"/>
        </w:tc>
        <w:tc>
          <w:tcPr>
            <w:tcW w:w="1814" w:type="dxa"/>
            <w:shd w:val="clear" w:color="auto" w:fill="auto"/>
          </w:tcPr>
          <w:p w14:paraId="1B47C9C2" w14:textId="77777777" w:rsidR="006D753A" w:rsidRDefault="006D753A"/>
        </w:tc>
        <w:tc>
          <w:tcPr>
            <w:tcW w:w="1265" w:type="dxa"/>
            <w:shd w:val="clear" w:color="auto" w:fill="auto"/>
          </w:tcPr>
          <w:p w14:paraId="2C13E8B3" w14:textId="77777777" w:rsidR="006D753A" w:rsidRDefault="006D753A"/>
        </w:tc>
        <w:tc>
          <w:tcPr>
            <w:tcW w:w="1254" w:type="dxa"/>
            <w:gridSpan w:val="2"/>
            <w:shd w:val="clear" w:color="auto" w:fill="auto"/>
          </w:tcPr>
          <w:p w14:paraId="12D2F0F9" w14:textId="77777777" w:rsidR="006D753A" w:rsidRDefault="006D753A"/>
        </w:tc>
      </w:tr>
      <w:tr w:rsidR="00F84B1A" w:rsidRPr="00001753" w14:paraId="53A1668E" w14:textId="77777777" w:rsidTr="00FE5F28">
        <w:trPr>
          <w:gridAfter w:val="1"/>
          <w:wAfter w:w="15" w:type="dxa"/>
        </w:trPr>
        <w:tc>
          <w:tcPr>
            <w:tcW w:w="1389" w:type="dxa"/>
            <w:shd w:val="clear" w:color="auto" w:fill="auto"/>
          </w:tcPr>
          <w:p w14:paraId="7D9332DC" w14:textId="77777777" w:rsidR="006D753A" w:rsidRDefault="00E772F9">
            <w:pPr>
              <w:spacing w:before="120" w:after="120"/>
              <w:jc w:val="both"/>
            </w:pPr>
            <w:r>
              <w:t>*</w:t>
            </w:r>
          </w:p>
        </w:tc>
        <w:tc>
          <w:tcPr>
            <w:tcW w:w="3006" w:type="dxa"/>
            <w:shd w:val="clear" w:color="auto" w:fill="auto"/>
          </w:tcPr>
          <w:p w14:paraId="13132965" w14:textId="77777777" w:rsidR="006D753A" w:rsidRDefault="00E772F9">
            <w:pPr>
              <w:spacing w:before="120" w:after="120"/>
              <w:jc w:val="both"/>
            </w:pPr>
            <w:r>
              <w:rPr>
                <w:sz w:val="26"/>
              </w:rPr>
              <w:t>Hoạt động có hiệu quả, góp phần nâng cao chất lượng giáo dục của nhà trường.</w:t>
            </w:r>
          </w:p>
        </w:tc>
        <w:tc>
          <w:tcPr>
            <w:tcW w:w="2580" w:type="dxa"/>
            <w:shd w:val="clear" w:color="auto" w:fill="auto"/>
          </w:tcPr>
          <w:p w14:paraId="6127CAC0" w14:textId="77777777" w:rsidR="006D753A" w:rsidRDefault="00E772F9">
            <w:pPr>
              <w:spacing w:before="120" w:after="120"/>
              <w:jc w:val="both"/>
            </w:pPr>
            <w:r>
              <w:rPr>
                <w:sz w:val="26"/>
              </w:rPr>
              <w:t>Hội đồng trường và các Hội đồng khác hoạt động có hiệu quả chưa?</w:t>
            </w:r>
          </w:p>
        </w:tc>
        <w:tc>
          <w:tcPr>
            <w:tcW w:w="1814" w:type="dxa"/>
            <w:shd w:val="clear" w:color="auto" w:fill="auto"/>
          </w:tcPr>
          <w:p w14:paraId="4E9A1765" w14:textId="77777777" w:rsidR="006D753A" w:rsidRDefault="00E772F9">
            <w:pPr>
              <w:spacing w:before="120" w:after="120"/>
              <w:jc w:val="both"/>
            </w:pPr>
            <w:r>
              <w:rPr>
                <w:sz w:val="26"/>
              </w:rPr>
              <w:t>Báo cáo tổng kết thi đua khen thưởng.</w:t>
            </w:r>
          </w:p>
        </w:tc>
        <w:tc>
          <w:tcPr>
            <w:tcW w:w="1265" w:type="dxa"/>
            <w:shd w:val="clear" w:color="auto" w:fill="auto"/>
          </w:tcPr>
          <w:p w14:paraId="088049E6" w14:textId="77777777" w:rsidR="006D753A" w:rsidRDefault="006D753A"/>
        </w:tc>
        <w:tc>
          <w:tcPr>
            <w:tcW w:w="1254" w:type="dxa"/>
            <w:gridSpan w:val="2"/>
            <w:shd w:val="clear" w:color="auto" w:fill="auto"/>
          </w:tcPr>
          <w:p w14:paraId="3C9FA59E" w14:textId="77777777" w:rsidR="006D753A" w:rsidRDefault="006D753A"/>
        </w:tc>
      </w:tr>
    </w:tbl>
    <w:p w14:paraId="1DB086FB" w14:textId="56325EC9" w:rsidR="00936290" w:rsidRDefault="00936290"/>
    <w:tbl>
      <w:tblPr>
        <w:tblW w:w="0" w:type="auto"/>
        <w:tblLook w:val="01E0" w:firstRow="1" w:lastRow="1" w:firstColumn="1" w:lastColumn="1" w:noHBand="0" w:noVBand="0"/>
      </w:tblPr>
      <w:tblGrid>
        <w:gridCol w:w="3936"/>
        <w:gridCol w:w="5244"/>
      </w:tblGrid>
      <w:tr w:rsidR="00C777F7" w14:paraId="51E373A9" w14:textId="77777777" w:rsidTr="00C777F7">
        <w:trPr>
          <w:cantSplit/>
          <w:trHeight w:val="80"/>
        </w:trPr>
        <w:tc>
          <w:tcPr>
            <w:tcW w:w="3936" w:type="dxa"/>
          </w:tcPr>
          <w:p w14:paraId="5FC1D368" w14:textId="77777777" w:rsidR="00C777F7" w:rsidRDefault="00C777F7">
            <w:pPr>
              <w:spacing w:before="120" w:after="120"/>
              <w:jc w:val="center"/>
              <w:rPr>
                <w:rFonts w:eastAsia="MS Mincho"/>
                <w:b/>
                <w:szCs w:val="28"/>
                <w:lang w:val="nb-NO"/>
              </w:rPr>
            </w:pPr>
          </w:p>
          <w:p w14:paraId="29D8374A" w14:textId="77777777" w:rsidR="00C777F7" w:rsidRDefault="00C777F7">
            <w:pPr>
              <w:spacing w:before="120" w:after="120"/>
              <w:jc w:val="center"/>
              <w:rPr>
                <w:rFonts w:eastAsia="MS Mincho"/>
                <w:b/>
                <w:szCs w:val="28"/>
                <w:lang w:val="nb-NO"/>
              </w:rPr>
            </w:pPr>
            <w:r>
              <w:rPr>
                <w:rFonts w:eastAsia="MS Mincho"/>
                <w:b/>
                <w:szCs w:val="28"/>
                <w:lang w:val="nb-NO"/>
              </w:rPr>
              <w:t>Xác nhận</w:t>
            </w:r>
            <w:r>
              <w:rPr>
                <w:rFonts w:eastAsia="MS Mincho"/>
                <w:b/>
                <w:szCs w:val="28"/>
                <w:lang w:val="nb-NO"/>
              </w:rPr>
              <w:br/>
              <w:t>của trưởng nhóm công tác</w:t>
            </w:r>
          </w:p>
          <w:p w14:paraId="66CDEB0C" w14:textId="77777777" w:rsidR="00C777F7" w:rsidRDefault="00C777F7">
            <w:pPr>
              <w:spacing w:before="120" w:after="120"/>
              <w:jc w:val="center"/>
              <w:rPr>
                <w:rFonts w:eastAsia="MS Mincho"/>
                <w:b/>
                <w:szCs w:val="28"/>
                <w:lang w:val="nb-NO"/>
              </w:rPr>
            </w:pPr>
          </w:p>
          <w:p w14:paraId="04BF0B0C" w14:textId="77777777" w:rsidR="00C777F7" w:rsidRDefault="00C777F7">
            <w:pPr>
              <w:spacing w:before="120" w:after="120"/>
              <w:jc w:val="center"/>
              <w:rPr>
                <w:rFonts w:eastAsia="MS Mincho"/>
                <w:b/>
                <w:szCs w:val="28"/>
                <w:lang w:val="nb-NO"/>
              </w:rPr>
            </w:pPr>
          </w:p>
          <w:p w14:paraId="30177D1D" w14:textId="77777777" w:rsidR="00C777F7" w:rsidRDefault="00C777F7">
            <w:pPr>
              <w:spacing w:before="120" w:after="120"/>
              <w:jc w:val="center"/>
              <w:rPr>
                <w:rFonts w:eastAsia="MS Mincho"/>
                <w:b/>
                <w:szCs w:val="28"/>
                <w:lang w:val="nb-NO"/>
              </w:rPr>
            </w:pPr>
          </w:p>
          <w:p w14:paraId="10278C64" w14:textId="77777777" w:rsidR="00C777F7" w:rsidRDefault="00C777F7">
            <w:pPr>
              <w:spacing w:before="120" w:after="120"/>
              <w:jc w:val="center"/>
              <w:rPr>
                <w:rFonts w:eastAsia="MS Mincho"/>
                <w:b/>
                <w:szCs w:val="28"/>
                <w:lang w:val="nb-NO"/>
              </w:rPr>
            </w:pPr>
          </w:p>
          <w:p w14:paraId="58419D69" w14:textId="77777777" w:rsidR="00C777F7" w:rsidRDefault="00C777F7">
            <w:pPr>
              <w:spacing w:before="120" w:after="120"/>
              <w:jc w:val="center"/>
              <w:rPr>
                <w:rFonts w:eastAsia="MS Mincho"/>
                <w:b/>
                <w:szCs w:val="28"/>
                <w:lang w:val="nb-NO"/>
              </w:rPr>
            </w:pPr>
          </w:p>
        </w:tc>
        <w:tc>
          <w:tcPr>
            <w:tcW w:w="5244" w:type="dxa"/>
          </w:tcPr>
          <w:p w14:paraId="6840B11D" w14:textId="77777777" w:rsidR="00C777F7" w:rsidRDefault="00C777F7">
            <w:pPr>
              <w:spacing w:before="120" w:after="120"/>
              <w:jc w:val="center"/>
              <w:rPr>
                <w:rFonts w:eastAsia="MS Mincho"/>
                <w:i/>
                <w:szCs w:val="28"/>
                <w:lang w:val="nb-NO"/>
              </w:rPr>
            </w:pPr>
            <w:r>
              <w:rPr>
                <w:rFonts w:eastAsia="MS Mincho"/>
                <w:i/>
                <w:szCs w:val="28"/>
                <w:lang w:val="nb-NO"/>
              </w:rPr>
              <w:t xml:space="preserve"> Kiên Giang, ngày 05 tháng 12 năm 2022</w:t>
            </w:r>
          </w:p>
          <w:p w14:paraId="14D79BED" w14:textId="77777777" w:rsidR="00C777F7" w:rsidRDefault="00C777F7">
            <w:pPr>
              <w:spacing w:before="120" w:after="120"/>
              <w:jc w:val="center"/>
              <w:rPr>
                <w:rFonts w:eastAsia="MS Mincho"/>
                <w:i/>
                <w:szCs w:val="28"/>
                <w:lang w:val="nb-NO"/>
              </w:rPr>
            </w:pPr>
            <w:r>
              <w:rPr>
                <w:rFonts w:eastAsia="MS Mincho"/>
                <w:b/>
                <w:szCs w:val="28"/>
                <w:lang w:val="nb-NO"/>
              </w:rPr>
              <w:t>Người viết</w:t>
            </w:r>
            <w:r>
              <w:rPr>
                <w:rFonts w:eastAsia="MS Mincho"/>
                <w:b/>
                <w:szCs w:val="28"/>
                <w:lang w:val="nb-NO"/>
              </w:rPr>
              <w:br/>
            </w:r>
            <w:r>
              <w:rPr>
                <w:rFonts w:eastAsia="MS Mincho"/>
                <w:i/>
                <w:szCs w:val="28"/>
                <w:lang w:val="nb-NO"/>
              </w:rPr>
              <w:t>(Ký tên)</w:t>
            </w:r>
          </w:p>
          <w:p w14:paraId="2E858646" w14:textId="77777777" w:rsidR="00C777F7" w:rsidRDefault="00C777F7">
            <w:pPr>
              <w:spacing w:before="120" w:after="120"/>
              <w:jc w:val="center"/>
              <w:rPr>
                <w:rFonts w:eastAsia="MS Mincho"/>
                <w:i/>
                <w:szCs w:val="28"/>
                <w:lang w:val="nb-NO"/>
              </w:rPr>
            </w:pPr>
          </w:p>
          <w:p w14:paraId="537D0797" w14:textId="77777777" w:rsidR="00C777F7" w:rsidRDefault="00C777F7">
            <w:pPr>
              <w:spacing w:before="120" w:after="120"/>
              <w:jc w:val="center"/>
              <w:rPr>
                <w:rFonts w:eastAsia="MS Mincho"/>
                <w:i/>
                <w:szCs w:val="28"/>
                <w:lang w:val="nb-NO"/>
              </w:rPr>
            </w:pPr>
          </w:p>
          <w:p w14:paraId="7E9915BA" w14:textId="77777777" w:rsidR="00C777F7" w:rsidRDefault="00C777F7">
            <w:pPr>
              <w:spacing w:before="120" w:after="120"/>
              <w:jc w:val="center"/>
              <w:rPr>
                <w:rFonts w:eastAsia="MS Mincho"/>
                <w:b/>
                <w:szCs w:val="28"/>
                <w:lang w:val="nb-NO"/>
              </w:rPr>
            </w:pPr>
            <w:r>
              <w:rPr>
                <w:rFonts w:eastAsia="MS Mincho"/>
                <w:b/>
                <w:szCs w:val="28"/>
                <w:lang w:val="nb-NO"/>
              </w:rPr>
              <w:t>Nguyễn Thanh Phong</w:t>
            </w:r>
          </w:p>
        </w:tc>
      </w:tr>
    </w:tbl>
    <w:p w14:paraId="656B314A" w14:textId="77777777" w:rsidR="00C777F7" w:rsidRDefault="00C777F7"/>
    <w:sectPr w:rsidR="00C777F7" w:rsidSect="009362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E0D7" w14:textId="77777777" w:rsidR="00C777F7" w:rsidRDefault="00C777F7" w:rsidP="00C777F7">
      <w:r>
        <w:separator/>
      </w:r>
    </w:p>
  </w:endnote>
  <w:endnote w:type="continuationSeparator" w:id="0">
    <w:p w14:paraId="0AD3A287" w14:textId="77777777" w:rsidR="00C777F7" w:rsidRDefault="00C777F7" w:rsidP="00C7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E891" w14:textId="77777777" w:rsidR="00C777F7" w:rsidRDefault="00C777F7" w:rsidP="00C777F7">
      <w:r>
        <w:separator/>
      </w:r>
    </w:p>
  </w:footnote>
  <w:footnote w:type="continuationSeparator" w:id="0">
    <w:p w14:paraId="23CF8F85" w14:textId="77777777" w:rsidR="00C777F7" w:rsidRDefault="00C777F7" w:rsidP="00C77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336355"/>
      <w:docPartObj>
        <w:docPartGallery w:val="Page Numbers (Top of Page)"/>
        <w:docPartUnique/>
      </w:docPartObj>
    </w:sdtPr>
    <w:sdtEndPr>
      <w:rPr>
        <w:noProof/>
      </w:rPr>
    </w:sdtEndPr>
    <w:sdtContent>
      <w:p w14:paraId="17A79FE1" w14:textId="572853BB" w:rsidR="00C777F7" w:rsidRDefault="00C777F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7FE0F58" w14:textId="77777777" w:rsidR="00C777F7" w:rsidRDefault="00C777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D"/>
    <w:rsid w:val="00005821"/>
    <w:rsid w:val="003B57E9"/>
    <w:rsid w:val="0044627A"/>
    <w:rsid w:val="004F30E5"/>
    <w:rsid w:val="00566218"/>
    <w:rsid w:val="005C0835"/>
    <w:rsid w:val="005C7B4F"/>
    <w:rsid w:val="00651FAF"/>
    <w:rsid w:val="006D753A"/>
    <w:rsid w:val="007C5881"/>
    <w:rsid w:val="00812FEF"/>
    <w:rsid w:val="00884BC7"/>
    <w:rsid w:val="00936290"/>
    <w:rsid w:val="009B428C"/>
    <w:rsid w:val="009B505F"/>
    <w:rsid w:val="009F49C7"/>
    <w:rsid w:val="00A20F9D"/>
    <w:rsid w:val="00A910D5"/>
    <w:rsid w:val="00B1622C"/>
    <w:rsid w:val="00BF3E9C"/>
    <w:rsid w:val="00C777F7"/>
    <w:rsid w:val="00D70C85"/>
    <w:rsid w:val="00E772F9"/>
    <w:rsid w:val="00F74296"/>
    <w:rsid w:val="00F84B1A"/>
    <w:rsid w:val="00FE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0ED2"/>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 w:type="paragraph" w:styleId="Header">
    <w:name w:val="header"/>
    <w:basedOn w:val="Normal"/>
    <w:link w:val="HeaderChar"/>
    <w:uiPriority w:val="99"/>
    <w:unhideWhenUsed/>
    <w:rsid w:val="00C777F7"/>
    <w:pPr>
      <w:tabs>
        <w:tab w:val="center" w:pos="4680"/>
        <w:tab w:val="right" w:pos="9360"/>
      </w:tabs>
    </w:pPr>
  </w:style>
  <w:style w:type="character" w:customStyle="1" w:styleId="HeaderChar">
    <w:name w:val="Header Char"/>
    <w:basedOn w:val="DefaultParagraphFont"/>
    <w:link w:val="Header"/>
    <w:uiPriority w:val="99"/>
    <w:rsid w:val="00C777F7"/>
    <w:rPr>
      <w:rFonts w:eastAsia="Times New Roman" w:cs="Times New Roman"/>
      <w:sz w:val="28"/>
      <w:szCs w:val="24"/>
    </w:rPr>
  </w:style>
  <w:style w:type="paragraph" w:styleId="Footer">
    <w:name w:val="footer"/>
    <w:basedOn w:val="Normal"/>
    <w:link w:val="FooterChar"/>
    <w:uiPriority w:val="99"/>
    <w:unhideWhenUsed/>
    <w:rsid w:val="00C777F7"/>
    <w:pPr>
      <w:tabs>
        <w:tab w:val="center" w:pos="4680"/>
        <w:tab w:val="right" w:pos="9360"/>
      </w:tabs>
    </w:pPr>
  </w:style>
  <w:style w:type="character" w:customStyle="1" w:styleId="FooterChar">
    <w:name w:val="Footer Char"/>
    <w:basedOn w:val="DefaultParagraphFont"/>
    <w:link w:val="Footer"/>
    <w:uiPriority w:val="99"/>
    <w:rsid w:val="00C777F7"/>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4189">
      <w:bodyDiv w:val="1"/>
      <w:marLeft w:val="0"/>
      <w:marRight w:val="0"/>
      <w:marTop w:val="0"/>
      <w:marBottom w:val="0"/>
      <w:divBdr>
        <w:top w:val="none" w:sz="0" w:space="0" w:color="auto"/>
        <w:left w:val="none" w:sz="0" w:space="0" w:color="auto"/>
        <w:bottom w:val="none" w:sz="0" w:space="0" w:color="auto"/>
        <w:right w:val="none" w:sz="0" w:space="0" w:color="auto"/>
      </w:divBdr>
    </w:div>
    <w:div w:id="19621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14</cp:revision>
  <dcterms:created xsi:type="dcterms:W3CDTF">2020-11-06T03:08:00Z</dcterms:created>
  <dcterms:modified xsi:type="dcterms:W3CDTF">2022-12-05T21:34:00Z</dcterms:modified>
</cp:coreProperties>
</file>