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301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80318A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9D4962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B9142D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EBD0DF1" w14:textId="60366DB4"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5CC8B14" w14:textId="5613FEB1"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13003E68" w14:textId="0CFEC42C"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6: Quản lý hành chính, tài chính và tài sản</w:t>
      </w:r>
    </w:p>
    <w:p w14:paraId="7ADCE471" w14:textId="33A415EF"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71ECB636" w14:textId="77777777" w:rsidR="00DE5934" w:rsidRDefault="006A533D">
      <w:pPr>
        <w:spacing w:before="120" w:after="120"/>
        <w:jc w:val="both"/>
      </w:pPr>
      <w:r>
        <w:rPr>
          <w:sz w:val="26"/>
        </w:rPr>
        <w:tab/>
        <w:t>a) Hệ thống hồ sơ của nhà trường được lưu trữ theo quy định;</w:t>
      </w:r>
    </w:p>
    <w:p w14:paraId="21172018" w14:textId="77777777" w:rsidR="00DE5934" w:rsidRDefault="006A533D">
      <w:pPr>
        <w:spacing w:before="120" w:after="120"/>
        <w:jc w:val="both"/>
      </w:pPr>
      <w:r>
        <w:rPr>
          <w:sz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14:paraId="0F36F08B" w14:textId="77777777" w:rsidR="00DE5934" w:rsidRDefault="006A533D">
      <w:pPr>
        <w:spacing w:before="120" w:after="120"/>
        <w:jc w:val="both"/>
      </w:pPr>
      <w:r>
        <w:rPr>
          <w:sz w:val="26"/>
        </w:rPr>
        <w:tab/>
        <w:t>c) Quản lý, sử dụng tài chính, tài sản đúng mục đích và có hiệu quả để phục vụ các hoạt động giáo dục.</w:t>
      </w:r>
    </w:p>
    <w:p w14:paraId="1EA1FEB0" w14:textId="2A790954" w:rsidR="003B57E9" w:rsidRDefault="00A20F9D" w:rsidP="007C5881">
      <w:pPr>
        <w:spacing w:line="320" w:lineRule="exact"/>
        <w:ind w:firstLine="720"/>
        <w:jc w:val="both"/>
        <w:rPr>
          <w:sz w:val="26"/>
          <w:szCs w:val="26"/>
          <w:lang w:val="nb-NO"/>
        </w:rPr>
      </w:pPr>
      <w:r w:rsidRPr="007C5881">
        <w:rPr>
          <w:sz w:val="26"/>
          <w:szCs w:val="26"/>
          <w:lang w:val="nb-NO"/>
        </w:rPr>
        <w:t>Mức 2:</w:t>
      </w:r>
    </w:p>
    <w:p w14:paraId="49B6C456" w14:textId="77777777" w:rsidR="00DE5934" w:rsidRDefault="006A533D">
      <w:pPr>
        <w:spacing w:before="120" w:after="120"/>
        <w:jc w:val="both"/>
      </w:pPr>
      <w:r>
        <w:rPr>
          <w:sz w:val="26"/>
        </w:rPr>
        <w:tab/>
        <w:t>a) Ứng dụng công nghệ thông tin hiệu quả trong công tác quản lý hành chính, tài chính và tài sản của nhà trường;</w:t>
      </w:r>
    </w:p>
    <w:p w14:paraId="0396E7CB" w14:textId="77777777" w:rsidR="00DE5934" w:rsidRDefault="006A533D">
      <w:pPr>
        <w:spacing w:before="120" w:after="120"/>
        <w:jc w:val="both"/>
      </w:pPr>
      <w:r>
        <w:rPr>
          <w:sz w:val="26"/>
        </w:rPr>
        <w:tab/>
        <w:t>b) Trong 05 năm liên tiếp tính đến thời điểm đánh giá, không có vi phạm liên quan đến việc quản lý hành chính, tài chính và tài sản theo kết luận của thanh tra, kiểm toán.</w:t>
      </w:r>
    </w:p>
    <w:p w14:paraId="52A9EBF1" w14:textId="207709C3" w:rsidR="00A20F9D" w:rsidRDefault="00A20F9D" w:rsidP="003B57E9">
      <w:pPr>
        <w:spacing w:line="320" w:lineRule="exact"/>
        <w:ind w:firstLine="720"/>
        <w:jc w:val="both"/>
        <w:rPr>
          <w:sz w:val="26"/>
          <w:szCs w:val="26"/>
          <w:lang w:val="nb-NO"/>
        </w:rPr>
      </w:pPr>
      <w:r w:rsidRPr="007C5881">
        <w:rPr>
          <w:sz w:val="26"/>
          <w:szCs w:val="26"/>
          <w:lang w:val="nb-NO"/>
        </w:rPr>
        <w:t>Mức 3:</w:t>
      </w:r>
    </w:p>
    <w:p w14:paraId="4F471456" w14:textId="77777777" w:rsidR="00DE5934" w:rsidRDefault="006A533D">
      <w:pPr>
        <w:spacing w:before="120" w:after="120"/>
        <w:jc w:val="both"/>
      </w:pPr>
      <w:r>
        <w:rPr>
          <w:sz w:val="26"/>
        </w:rPr>
        <w:tab/>
        <w:t>Có kế hoạch ngắn hạn, trung hạn và trung hạn để tạo các nguồn tài chính hợp pháp phù hợp với điều kiện nhà trường, thực tế địa phương.</w:t>
      </w:r>
    </w:p>
    <w:tbl>
      <w:tblPr>
        <w:tblW w:w="107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722"/>
        <w:gridCol w:w="2552"/>
        <w:gridCol w:w="1559"/>
        <w:gridCol w:w="1265"/>
        <w:gridCol w:w="10"/>
        <w:gridCol w:w="1244"/>
        <w:gridCol w:w="10"/>
      </w:tblGrid>
      <w:tr w:rsidR="00F84B1A" w:rsidRPr="00001753" w14:paraId="15D22641" w14:textId="77777777" w:rsidTr="00A45F44">
        <w:trPr>
          <w:tblHeader/>
        </w:trPr>
        <w:tc>
          <w:tcPr>
            <w:tcW w:w="1389" w:type="dxa"/>
            <w:vMerge w:val="restart"/>
            <w:shd w:val="clear" w:color="auto" w:fill="auto"/>
          </w:tcPr>
          <w:p w14:paraId="5BCD5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01624E2" w14:textId="2E7E6214"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1.6</w:t>
            </w:r>
          </w:p>
        </w:tc>
        <w:tc>
          <w:tcPr>
            <w:tcW w:w="2722" w:type="dxa"/>
            <w:vMerge w:val="restart"/>
            <w:shd w:val="clear" w:color="auto" w:fill="auto"/>
          </w:tcPr>
          <w:p w14:paraId="1C91F56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52" w:type="dxa"/>
            <w:vMerge w:val="restart"/>
            <w:shd w:val="clear" w:color="auto" w:fill="auto"/>
          </w:tcPr>
          <w:p w14:paraId="267F46B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BC857A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834" w:type="dxa"/>
            <w:gridSpan w:val="3"/>
            <w:shd w:val="clear" w:color="auto" w:fill="auto"/>
          </w:tcPr>
          <w:p w14:paraId="4FD6BF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7C7B009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10EE7AD" w14:textId="77777777" w:rsidTr="00A45F44">
        <w:trPr>
          <w:gridAfter w:val="1"/>
          <w:wAfter w:w="10" w:type="dxa"/>
          <w:tblHeader/>
        </w:trPr>
        <w:tc>
          <w:tcPr>
            <w:tcW w:w="1389" w:type="dxa"/>
            <w:vMerge/>
            <w:shd w:val="clear" w:color="auto" w:fill="auto"/>
          </w:tcPr>
          <w:p w14:paraId="3A124216" w14:textId="77777777" w:rsidR="00D70C85" w:rsidRPr="00001753" w:rsidRDefault="00D70C85" w:rsidP="00B73342">
            <w:pPr>
              <w:widowControl w:val="0"/>
              <w:spacing w:line="340" w:lineRule="exact"/>
              <w:jc w:val="center"/>
              <w:rPr>
                <w:rFonts w:eastAsia="MS Mincho"/>
                <w:b/>
                <w:bCs/>
                <w:sz w:val="26"/>
                <w:szCs w:val="26"/>
              </w:rPr>
            </w:pPr>
          </w:p>
        </w:tc>
        <w:tc>
          <w:tcPr>
            <w:tcW w:w="2722" w:type="dxa"/>
            <w:vMerge/>
            <w:shd w:val="clear" w:color="auto" w:fill="auto"/>
          </w:tcPr>
          <w:p w14:paraId="697E21DA" w14:textId="77777777" w:rsidR="00D70C85" w:rsidRPr="00001753" w:rsidRDefault="00D70C85" w:rsidP="00B73342">
            <w:pPr>
              <w:widowControl w:val="0"/>
              <w:spacing w:line="340" w:lineRule="exact"/>
              <w:jc w:val="center"/>
              <w:rPr>
                <w:rFonts w:eastAsia="MS Mincho"/>
                <w:bCs/>
                <w:sz w:val="26"/>
                <w:szCs w:val="26"/>
              </w:rPr>
            </w:pPr>
          </w:p>
        </w:tc>
        <w:tc>
          <w:tcPr>
            <w:tcW w:w="2552" w:type="dxa"/>
            <w:vMerge/>
            <w:shd w:val="clear" w:color="auto" w:fill="auto"/>
          </w:tcPr>
          <w:p w14:paraId="26E59C90" w14:textId="77777777" w:rsidR="00D70C85" w:rsidRPr="00001753" w:rsidRDefault="00D70C85" w:rsidP="00B73342">
            <w:pPr>
              <w:widowControl w:val="0"/>
              <w:spacing w:line="340" w:lineRule="exact"/>
              <w:jc w:val="center"/>
              <w:rPr>
                <w:rFonts w:eastAsia="MS Mincho"/>
                <w:bCs/>
                <w:sz w:val="26"/>
                <w:szCs w:val="26"/>
              </w:rPr>
            </w:pPr>
          </w:p>
        </w:tc>
        <w:tc>
          <w:tcPr>
            <w:tcW w:w="1559" w:type="dxa"/>
            <w:shd w:val="clear" w:color="auto" w:fill="auto"/>
          </w:tcPr>
          <w:p w14:paraId="51B3F72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001DB83D"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0F31B58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6586E2" w14:textId="77777777" w:rsidTr="00A45F44">
        <w:trPr>
          <w:gridAfter w:val="1"/>
          <w:wAfter w:w="10" w:type="dxa"/>
        </w:trPr>
        <w:tc>
          <w:tcPr>
            <w:tcW w:w="1389" w:type="dxa"/>
            <w:shd w:val="clear" w:color="auto" w:fill="auto"/>
          </w:tcPr>
          <w:p w14:paraId="74E40CEB" w14:textId="77777777" w:rsidR="00DE5934" w:rsidRDefault="006A533D">
            <w:pPr>
              <w:spacing w:before="120" w:after="120"/>
              <w:jc w:val="both"/>
            </w:pPr>
            <w:r>
              <w:t>Mức 1</w:t>
            </w:r>
          </w:p>
        </w:tc>
        <w:tc>
          <w:tcPr>
            <w:tcW w:w="2722" w:type="dxa"/>
            <w:shd w:val="clear" w:color="auto" w:fill="auto"/>
          </w:tcPr>
          <w:p w14:paraId="6BD07FDD" w14:textId="77777777" w:rsidR="00DE5934" w:rsidRDefault="00DE5934"/>
        </w:tc>
        <w:tc>
          <w:tcPr>
            <w:tcW w:w="2552" w:type="dxa"/>
            <w:shd w:val="clear" w:color="auto" w:fill="auto"/>
          </w:tcPr>
          <w:p w14:paraId="38C64216" w14:textId="77777777" w:rsidR="00DE5934" w:rsidRDefault="00DE5934"/>
        </w:tc>
        <w:tc>
          <w:tcPr>
            <w:tcW w:w="1559" w:type="dxa"/>
            <w:shd w:val="clear" w:color="auto" w:fill="auto"/>
          </w:tcPr>
          <w:p w14:paraId="28E22920" w14:textId="77777777" w:rsidR="00DE5934" w:rsidRDefault="00DE5934"/>
        </w:tc>
        <w:tc>
          <w:tcPr>
            <w:tcW w:w="1265" w:type="dxa"/>
            <w:shd w:val="clear" w:color="auto" w:fill="auto"/>
          </w:tcPr>
          <w:p w14:paraId="07507005" w14:textId="77777777" w:rsidR="00DE5934" w:rsidRDefault="00DE5934"/>
        </w:tc>
        <w:tc>
          <w:tcPr>
            <w:tcW w:w="1254" w:type="dxa"/>
            <w:gridSpan w:val="2"/>
            <w:shd w:val="clear" w:color="auto" w:fill="auto"/>
          </w:tcPr>
          <w:p w14:paraId="33E6168E" w14:textId="77777777" w:rsidR="00DE5934" w:rsidRDefault="00DE5934"/>
        </w:tc>
      </w:tr>
      <w:tr w:rsidR="00F84B1A" w:rsidRPr="00001753" w14:paraId="70CC62A1" w14:textId="77777777" w:rsidTr="00A45F44">
        <w:trPr>
          <w:gridAfter w:val="1"/>
          <w:wAfter w:w="10" w:type="dxa"/>
        </w:trPr>
        <w:tc>
          <w:tcPr>
            <w:tcW w:w="1389" w:type="dxa"/>
            <w:shd w:val="clear" w:color="auto" w:fill="auto"/>
          </w:tcPr>
          <w:p w14:paraId="1CFC1BE8" w14:textId="77777777" w:rsidR="00DE5934" w:rsidRDefault="006A533D">
            <w:pPr>
              <w:spacing w:before="120" w:after="120"/>
              <w:jc w:val="both"/>
            </w:pPr>
            <w:r>
              <w:t>a</w:t>
            </w:r>
          </w:p>
        </w:tc>
        <w:tc>
          <w:tcPr>
            <w:tcW w:w="2722" w:type="dxa"/>
            <w:shd w:val="clear" w:color="auto" w:fill="auto"/>
          </w:tcPr>
          <w:p w14:paraId="0EC7505A" w14:textId="77777777" w:rsidR="00DE5934" w:rsidRDefault="006A533D">
            <w:pPr>
              <w:spacing w:before="120" w:after="120"/>
              <w:jc w:val="both"/>
            </w:pPr>
            <w:r>
              <w:rPr>
                <w:sz w:val="26"/>
              </w:rPr>
              <w:t>Hồ sơ, văn bản lưu trữ đầy đủ, khoa học theo quy định của Luật lưu trữ.</w:t>
            </w:r>
          </w:p>
        </w:tc>
        <w:tc>
          <w:tcPr>
            <w:tcW w:w="2552" w:type="dxa"/>
            <w:shd w:val="clear" w:color="auto" w:fill="auto"/>
          </w:tcPr>
          <w:p w14:paraId="0F624199" w14:textId="77777777" w:rsidR="00DE5934" w:rsidRDefault="00DE5934"/>
        </w:tc>
        <w:tc>
          <w:tcPr>
            <w:tcW w:w="1559" w:type="dxa"/>
            <w:shd w:val="clear" w:color="auto" w:fill="auto"/>
          </w:tcPr>
          <w:p w14:paraId="477B4733" w14:textId="77777777" w:rsidR="00DE5934" w:rsidRDefault="00DE5934"/>
        </w:tc>
        <w:tc>
          <w:tcPr>
            <w:tcW w:w="1265" w:type="dxa"/>
            <w:shd w:val="clear" w:color="auto" w:fill="auto"/>
          </w:tcPr>
          <w:p w14:paraId="5F674757" w14:textId="77777777" w:rsidR="00DE5934" w:rsidRDefault="00DE5934"/>
        </w:tc>
        <w:tc>
          <w:tcPr>
            <w:tcW w:w="1254" w:type="dxa"/>
            <w:gridSpan w:val="2"/>
            <w:shd w:val="clear" w:color="auto" w:fill="auto"/>
          </w:tcPr>
          <w:p w14:paraId="1828D051" w14:textId="77777777" w:rsidR="00DE5934" w:rsidRDefault="00DE5934"/>
        </w:tc>
      </w:tr>
      <w:tr w:rsidR="00F84B1A" w:rsidRPr="00001753" w14:paraId="71698151" w14:textId="77777777" w:rsidTr="00A45F44">
        <w:trPr>
          <w:gridAfter w:val="1"/>
          <w:wAfter w:w="10" w:type="dxa"/>
        </w:trPr>
        <w:tc>
          <w:tcPr>
            <w:tcW w:w="1389" w:type="dxa"/>
            <w:shd w:val="clear" w:color="auto" w:fill="auto"/>
          </w:tcPr>
          <w:p w14:paraId="6BF0A4F6" w14:textId="77777777" w:rsidR="00DE5934" w:rsidRDefault="006A533D">
            <w:pPr>
              <w:spacing w:before="120" w:after="120"/>
              <w:jc w:val="both"/>
            </w:pPr>
            <w:r>
              <w:t>b</w:t>
            </w:r>
          </w:p>
        </w:tc>
        <w:tc>
          <w:tcPr>
            <w:tcW w:w="2722" w:type="dxa"/>
            <w:shd w:val="clear" w:color="auto" w:fill="auto"/>
          </w:tcPr>
          <w:p w14:paraId="09F54F8E" w14:textId="77777777" w:rsidR="00DE5934" w:rsidRDefault="006A533D">
            <w:pPr>
              <w:spacing w:before="120" w:after="120"/>
              <w:jc w:val="both"/>
            </w:pPr>
            <w:r>
              <w:rPr>
                <w:sz w:val="26"/>
              </w:rPr>
              <w:t>1) Lập dự toán, thực hiện thu chi, quyết toán, thống kê, báo cáo tài chính và tài sản theo quy định.</w:t>
            </w:r>
          </w:p>
          <w:p w14:paraId="22F9BA80" w14:textId="77777777" w:rsidR="00DE5934" w:rsidRDefault="006A533D">
            <w:pPr>
              <w:spacing w:before="120" w:after="120"/>
              <w:jc w:val="both"/>
            </w:pPr>
            <w:r>
              <w:rPr>
                <w:sz w:val="26"/>
              </w:rPr>
              <w:lastRenderedPageBreak/>
              <w:t>2) Công khai và định kỳ tự kiểm tra tài chính, tài sản theo quy định.</w:t>
            </w:r>
          </w:p>
          <w:p w14:paraId="61749804" w14:textId="77777777" w:rsidR="00DE5934" w:rsidRDefault="006A533D">
            <w:pPr>
              <w:spacing w:before="120" w:after="120"/>
              <w:jc w:val="both"/>
            </w:pPr>
            <w:r>
              <w:rPr>
                <w:sz w:val="26"/>
              </w:rPr>
              <w:t>3) Quy chế chi tiêu nội bộ được bổ sung, cập nhật phù hợp với điều kiện thực tế và các quy định hiện hành.</w:t>
            </w:r>
          </w:p>
        </w:tc>
        <w:tc>
          <w:tcPr>
            <w:tcW w:w="2552" w:type="dxa"/>
            <w:shd w:val="clear" w:color="auto" w:fill="auto"/>
          </w:tcPr>
          <w:p w14:paraId="50F8B149" w14:textId="77777777" w:rsidR="00DE5934" w:rsidRDefault="00DE5934"/>
        </w:tc>
        <w:tc>
          <w:tcPr>
            <w:tcW w:w="1559" w:type="dxa"/>
            <w:shd w:val="clear" w:color="auto" w:fill="auto"/>
          </w:tcPr>
          <w:p w14:paraId="6FB62392" w14:textId="77777777" w:rsidR="00DE5934" w:rsidRDefault="00DE5934"/>
        </w:tc>
        <w:tc>
          <w:tcPr>
            <w:tcW w:w="1265" w:type="dxa"/>
            <w:shd w:val="clear" w:color="auto" w:fill="auto"/>
          </w:tcPr>
          <w:p w14:paraId="397F8104" w14:textId="77777777" w:rsidR="00DE5934" w:rsidRDefault="00DE5934"/>
        </w:tc>
        <w:tc>
          <w:tcPr>
            <w:tcW w:w="1254" w:type="dxa"/>
            <w:gridSpan w:val="2"/>
            <w:shd w:val="clear" w:color="auto" w:fill="auto"/>
          </w:tcPr>
          <w:p w14:paraId="6B853C5C" w14:textId="77777777" w:rsidR="00DE5934" w:rsidRDefault="00DE5934"/>
        </w:tc>
      </w:tr>
      <w:tr w:rsidR="00F84B1A" w:rsidRPr="00001753" w14:paraId="576A30C5" w14:textId="77777777" w:rsidTr="00A45F44">
        <w:trPr>
          <w:gridAfter w:val="1"/>
          <w:wAfter w:w="10" w:type="dxa"/>
        </w:trPr>
        <w:tc>
          <w:tcPr>
            <w:tcW w:w="1389" w:type="dxa"/>
            <w:shd w:val="clear" w:color="auto" w:fill="auto"/>
          </w:tcPr>
          <w:p w14:paraId="7792EFD7" w14:textId="77777777" w:rsidR="00DE5934" w:rsidRDefault="006A533D">
            <w:pPr>
              <w:spacing w:before="120" w:after="120"/>
              <w:jc w:val="both"/>
            </w:pPr>
            <w:r>
              <w:t>c</w:t>
            </w:r>
          </w:p>
        </w:tc>
        <w:tc>
          <w:tcPr>
            <w:tcW w:w="2722" w:type="dxa"/>
            <w:shd w:val="clear" w:color="auto" w:fill="auto"/>
          </w:tcPr>
          <w:p w14:paraId="5B080F34" w14:textId="77777777" w:rsidR="00DE5934" w:rsidRDefault="006A533D">
            <w:pPr>
              <w:spacing w:before="120" w:after="120"/>
              <w:jc w:val="both"/>
            </w:pPr>
            <w:r>
              <w:rPr>
                <w:sz w:val="26"/>
              </w:rPr>
              <w:t>Nhà trường quản lý, sử dụng tài chính và tài sản đảm bảo: - Đúng mục đích; - Đạt hiệu quả để phục vụ các hoạt động giáo dục.</w:t>
            </w:r>
          </w:p>
        </w:tc>
        <w:tc>
          <w:tcPr>
            <w:tcW w:w="2552" w:type="dxa"/>
            <w:shd w:val="clear" w:color="auto" w:fill="auto"/>
          </w:tcPr>
          <w:p w14:paraId="5F3C20B8" w14:textId="77777777" w:rsidR="00DE5934" w:rsidRDefault="00DE5934"/>
        </w:tc>
        <w:tc>
          <w:tcPr>
            <w:tcW w:w="1559" w:type="dxa"/>
            <w:shd w:val="clear" w:color="auto" w:fill="auto"/>
          </w:tcPr>
          <w:p w14:paraId="20C02317" w14:textId="77777777" w:rsidR="00DE5934" w:rsidRDefault="006A533D">
            <w:pPr>
              <w:spacing w:before="120" w:after="120"/>
              <w:jc w:val="both"/>
            </w:pPr>
            <w:r>
              <w:rPr>
                <w:sz w:val="26"/>
              </w:rPr>
              <w:t>- Sổ quản lý và hồ sơ lưu trữ các văn bản, công văn đi, đến;</w:t>
            </w:r>
          </w:p>
          <w:p w14:paraId="060EE095" w14:textId="77777777" w:rsidR="00DE5934" w:rsidRDefault="006A533D">
            <w:pPr>
              <w:spacing w:before="120" w:after="120"/>
              <w:jc w:val="both"/>
            </w:pPr>
            <w:r>
              <w:rPr>
                <w:sz w:val="26"/>
              </w:rPr>
              <w:t>- Sổ quản lý tài sản, thiết bị giáo dục, thiết bị giáo dục;</w:t>
            </w:r>
          </w:p>
          <w:p w14:paraId="03CA6297" w14:textId="77777777" w:rsidR="00DE5934" w:rsidRDefault="006A533D">
            <w:pPr>
              <w:spacing w:before="120" w:after="120"/>
              <w:jc w:val="both"/>
            </w:pPr>
            <w:r>
              <w:rPr>
                <w:sz w:val="26"/>
              </w:rPr>
              <w:t>- Các biên bản, kết luận, thông báo liên quan của các cấp có thẩm quyền;</w:t>
            </w:r>
          </w:p>
          <w:p w14:paraId="0634DFA6" w14:textId="77777777" w:rsidR="00DE5934" w:rsidRDefault="006A533D">
            <w:pPr>
              <w:spacing w:before="120" w:after="120"/>
              <w:jc w:val="both"/>
            </w:pPr>
            <w:r>
              <w:rPr>
                <w:sz w:val="26"/>
              </w:rPr>
              <w:t>- Báo cáo sơ kết, tổng kết</w:t>
            </w:r>
          </w:p>
          <w:p w14:paraId="35749DE6" w14:textId="77777777" w:rsidR="00DE5934" w:rsidRDefault="006A533D">
            <w:pPr>
              <w:spacing w:before="120" w:after="120"/>
              <w:jc w:val="both"/>
            </w:pPr>
            <w:r>
              <w:rPr>
                <w:sz w:val="26"/>
              </w:rPr>
              <w:t>- Quy chế chi tiêu nội bộ của nhà trường.</w:t>
            </w:r>
          </w:p>
        </w:tc>
        <w:tc>
          <w:tcPr>
            <w:tcW w:w="1265" w:type="dxa"/>
            <w:shd w:val="clear" w:color="auto" w:fill="auto"/>
          </w:tcPr>
          <w:p w14:paraId="55DA5C0B" w14:textId="77777777" w:rsidR="00DE5934" w:rsidRDefault="00DE5934"/>
        </w:tc>
        <w:tc>
          <w:tcPr>
            <w:tcW w:w="1254" w:type="dxa"/>
            <w:gridSpan w:val="2"/>
            <w:shd w:val="clear" w:color="auto" w:fill="auto"/>
          </w:tcPr>
          <w:p w14:paraId="3509E385" w14:textId="77777777" w:rsidR="00DE5934" w:rsidRDefault="00DE5934"/>
        </w:tc>
      </w:tr>
      <w:tr w:rsidR="00F84B1A" w:rsidRPr="00001753" w14:paraId="011DAE8A" w14:textId="77777777" w:rsidTr="00A45F44">
        <w:trPr>
          <w:gridAfter w:val="1"/>
          <w:wAfter w:w="10" w:type="dxa"/>
        </w:trPr>
        <w:tc>
          <w:tcPr>
            <w:tcW w:w="1389" w:type="dxa"/>
            <w:shd w:val="clear" w:color="auto" w:fill="auto"/>
          </w:tcPr>
          <w:p w14:paraId="1FDDCC09" w14:textId="77777777" w:rsidR="00DE5934" w:rsidRDefault="006A533D">
            <w:pPr>
              <w:spacing w:before="120" w:after="120"/>
              <w:jc w:val="both"/>
            </w:pPr>
            <w:r>
              <w:t>Mức 2</w:t>
            </w:r>
          </w:p>
        </w:tc>
        <w:tc>
          <w:tcPr>
            <w:tcW w:w="2722" w:type="dxa"/>
            <w:shd w:val="clear" w:color="auto" w:fill="auto"/>
          </w:tcPr>
          <w:p w14:paraId="1AE94046" w14:textId="77777777" w:rsidR="00DE5934" w:rsidRDefault="00DE5934"/>
        </w:tc>
        <w:tc>
          <w:tcPr>
            <w:tcW w:w="2552" w:type="dxa"/>
            <w:shd w:val="clear" w:color="auto" w:fill="auto"/>
          </w:tcPr>
          <w:p w14:paraId="01539074" w14:textId="77777777" w:rsidR="00DE5934" w:rsidRDefault="00DE5934"/>
        </w:tc>
        <w:tc>
          <w:tcPr>
            <w:tcW w:w="1559" w:type="dxa"/>
            <w:shd w:val="clear" w:color="auto" w:fill="auto"/>
          </w:tcPr>
          <w:p w14:paraId="7DD96F81" w14:textId="77777777" w:rsidR="00DE5934" w:rsidRDefault="00DE5934"/>
        </w:tc>
        <w:tc>
          <w:tcPr>
            <w:tcW w:w="1265" w:type="dxa"/>
            <w:shd w:val="clear" w:color="auto" w:fill="auto"/>
          </w:tcPr>
          <w:p w14:paraId="19979F01" w14:textId="77777777" w:rsidR="00DE5934" w:rsidRDefault="00DE5934"/>
        </w:tc>
        <w:tc>
          <w:tcPr>
            <w:tcW w:w="1254" w:type="dxa"/>
            <w:gridSpan w:val="2"/>
            <w:shd w:val="clear" w:color="auto" w:fill="auto"/>
          </w:tcPr>
          <w:p w14:paraId="68BBA108" w14:textId="77777777" w:rsidR="00DE5934" w:rsidRDefault="00DE5934"/>
        </w:tc>
      </w:tr>
      <w:tr w:rsidR="00F84B1A" w:rsidRPr="00001753" w14:paraId="728FCBD9" w14:textId="77777777" w:rsidTr="00A45F44">
        <w:trPr>
          <w:gridAfter w:val="1"/>
          <w:wAfter w:w="10" w:type="dxa"/>
        </w:trPr>
        <w:tc>
          <w:tcPr>
            <w:tcW w:w="1389" w:type="dxa"/>
            <w:shd w:val="clear" w:color="auto" w:fill="auto"/>
          </w:tcPr>
          <w:p w14:paraId="6ABD968F" w14:textId="77777777" w:rsidR="00DE5934" w:rsidRDefault="006A533D">
            <w:pPr>
              <w:spacing w:before="120" w:after="120"/>
              <w:jc w:val="both"/>
            </w:pPr>
            <w:r>
              <w:t>a</w:t>
            </w:r>
          </w:p>
        </w:tc>
        <w:tc>
          <w:tcPr>
            <w:tcW w:w="2722" w:type="dxa"/>
            <w:shd w:val="clear" w:color="auto" w:fill="auto"/>
          </w:tcPr>
          <w:p w14:paraId="0645CF29" w14:textId="77777777" w:rsidR="00DE5934" w:rsidRDefault="006A533D">
            <w:pPr>
              <w:spacing w:before="120" w:after="120"/>
              <w:jc w:val="both"/>
            </w:pPr>
            <w:r>
              <w:rPr>
                <w:sz w:val="26"/>
              </w:rPr>
              <w:t xml:space="preserve">Ứng dụng công nghệ thông tin hiệu quả trong công tác quản lý hành </w:t>
            </w:r>
            <w:r>
              <w:rPr>
                <w:sz w:val="26"/>
              </w:rPr>
              <w:lastRenderedPageBreak/>
              <w:t>chính, tài chính và tài sản của nhà trường.</w:t>
            </w:r>
          </w:p>
        </w:tc>
        <w:tc>
          <w:tcPr>
            <w:tcW w:w="2552" w:type="dxa"/>
            <w:shd w:val="clear" w:color="auto" w:fill="auto"/>
          </w:tcPr>
          <w:p w14:paraId="3F29035A" w14:textId="77777777" w:rsidR="00DE5934" w:rsidRDefault="00DE5934"/>
        </w:tc>
        <w:tc>
          <w:tcPr>
            <w:tcW w:w="1559" w:type="dxa"/>
            <w:shd w:val="clear" w:color="auto" w:fill="auto"/>
          </w:tcPr>
          <w:p w14:paraId="23727B06" w14:textId="77777777" w:rsidR="00DE5934" w:rsidRDefault="00DE5934"/>
        </w:tc>
        <w:tc>
          <w:tcPr>
            <w:tcW w:w="1265" w:type="dxa"/>
            <w:shd w:val="clear" w:color="auto" w:fill="auto"/>
          </w:tcPr>
          <w:p w14:paraId="79E65B29" w14:textId="77777777" w:rsidR="00DE5934" w:rsidRDefault="00DE5934"/>
        </w:tc>
        <w:tc>
          <w:tcPr>
            <w:tcW w:w="1254" w:type="dxa"/>
            <w:gridSpan w:val="2"/>
            <w:shd w:val="clear" w:color="auto" w:fill="auto"/>
          </w:tcPr>
          <w:p w14:paraId="154426C3" w14:textId="77777777" w:rsidR="00DE5934" w:rsidRDefault="00DE5934"/>
        </w:tc>
      </w:tr>
      <w:tr w:rsidR="00F84B1A" w:rsidRPr="00001753" w14:paraId="156152AE" w14:textId="77777777" w:rsidTr="00A45F44">
        <w:trPr>
          <w:gridAfter w:val="1"/>
          <w:wAfter w:w="10" w:type="dxa"/>
        </w:trPr>
        <w:tc>
          <w:tcPr>
            <w:tcW w:w="1389" w:type="dxa"/>
            <w:shd w:val="clear" w:color="auto" w:fill="auto"/>
          </w:tcPr>
          <w:p w14:paraId="118C28D7" w14:textId="77777777" w:rsidR="00DE5934" w:rsidRDefault="006A533D">
            <w:pPr>
              <w:spacing w:before="120" w:after="120"/>
              <w:jc w:val="both"/>
            </w:pPr>
            <w:r>
              <w:t>b</w:t>
            </w:r>
          </w:p>
        </w:tc>
        <w:tc>
          <w:tcPr>
            <w:tcW w:w="2722" w:type="dxa"/>
            <w:shd w:val="clear" w:color="auto" w:fill="auto"/>
          </w:tcPr>
          <w:p w14:paraId="49076DE3" w14:textId="77777777" w:rsidR="00DE5934" w:rsidRDefault="006A533D">
            <w:pPr>
              <w:spacing w:before="120" w:after="120"/>
              <w:jc w:val="both"/>
            </w:pPr>
            <w:r>
              <w:rPr>
                <w:sz w:val="26"/>
              </w:rPr>
              <w:t>Kết luận của thanh tra, kiểm toán trong 05 năm liền kề trước khi đề nghị công nhận nhà trường không có vi phạm liên quan đến:</w:t>
            </w:r>
          </w:p>
          <w:p w14:paraId="3D0F76A1" w14:textId="77777777" w:rsidR="00DE5934" w:rsidRDefault="006A533D">
            <w:pPr>
              <w:spacing w:before="120" w:after="120"/>
              <w:jc w:val="both"/>
            </w:pPr>
            <w:r>
              <w:rPr>
                <w:sz w:val="26"/>
              </w:rPr>
              <w:t>- Quản lý hành chính;</w:t>
            </w:r>
          </w:p>
          <w:p w14:paraId="1546DE2D" w14:textId="77777777" w:rsidR="00DE5934" w:rsidRDefault="006A533D">
            <w:pPr>
              <w:spacing w:before="120" w:after="120"/>
              <w:jc w:val="both"/>
            </w:pPr>
            <w:r>
              <w:rPr>
                <w:sz w:val="26"/>
              </w:rPr>
              <w:t>- Tài chính;</w:t>
            </w:r>
          </w:p>
          <w:p w14:paraId="5AC61619" w14:textId="77777777" w:rsidR="00DE5934" w:rsidRDefault="006A533D">
            <w:pPr>
              <w:spacing w:before="120" w:after="120"/>
              <w:jc w:val="both"/>
            </w:pPr>
            <w:r>
              <w:rPr>
                <w:sz w:val="26"/>
              </w:rPr>
              <w:t>- Tài sản.</w:t>
            </w:r>
          </w:p>
        </w:tc>
        <w:tc>
          <w:tcPr>
            <w:tcW w:w="2552" w:type="dxa"/>
            <w:shd w:val="clear" w:color="auto" w:fill="auto"/>
          </w:tcPr>
          <w:p w14:paraId="7C4AAE4C" w14:textId="77777777" w:rsidR="00DE5934" w:rsidRDefault="00DE5934"/>
        </w:tc>
        <w:tc>
          <w:tcPr>
            <w:tcW w:w="1559" w:type="dxa"/>
            <w:shd w:val="clear" w:color="auto" w:fill="auto"/>
          </w:tcPr>
          <w:p w14:paraId="580D850E" w14:textId="77777777" w:rsidR="00DE5934" w:rsidRDefault="006A533D">
            <w:pPr>
              <w:spacing w:before="120" w:after="120"/>
              <w:jc w:val="both"/>
            </w:pPr>
            <w:r>
              <w:rPr>
                <w:sz w:val="26"/>
              </w:rPr>
              <w:t>- Phần mềm quản lý hành chính, tài chính và tài sản của nhà trường;</w:t>
            </w:r>
          </w:p>
          <w:p w14:paraId="19B65636" w14:textId="77777777" w:rsidR="00DE5934" w:rsidRDefault="006A533D">
            <w:pPr>
              <w:spacing w:before="120" w:after="120"/>
              <w:jc w:val="both"/>
            </w:pPr>
            <w:r>
              <w:rPr>
                <w:sz w:val="26"/>
              </w:rPr>
              <w:t>- Sổ quản lý và hồ sơ lưu trữ các văn bản, công văn đi, đến;</w:t>
            </w:r>
          </w:p>
          <w:p w14:paraId="03160D38" w14:textId="77777777" w:rsidR="00DE5934" w:rsidRDefault="006A533D">
            <w:pPr>
              <w:spacing w:before="120" w:after="120"/>
              <w:jc w:val="both"/>
            </w:pPr>
            <w:r>
              <w:rPr>
                <w:sz w:val="26"/>
              </w:rPr>
              <w:t>- Sổ quản lý tài sản, thiết bị giáo dục;</w:t>
            </w:r>
          </w:p>
          <w:p w14:paraId="0005C848" w14:textId="77777777" w:rsidR="00DE5934" w:rsidRDefault="006A533D">
            <w:pPr>
              <w:spacing w:before="120" w:after="120"/>
              <w:jc w:val="both"/>
            </w:pPr>
            <w:r>
              <w:rPr>
                <w:sz w:val="26"/>
              </w:rPr>
              <w:t>- Sổ quản lý tài chính;</w:t>
            </w:r>
          </w:p>
          <w:p w14:paraId="78E128B4" w14:textId="77777777" w:rsidR="00DE5934" w:rsidRDefault="006A533D">
            <w:pPr>
              <w:spacing w:before="120" w:after="120"/>
              <w:jc w:val="both"/>
            </w:pPr>
            <w:r>
              <w:rPr>
                <w:sz w:val="26"/>
              </w:rPr>
              <w:t>- Báo cáo sơ kết, tổng kết;</w:t>
            </w:r>
          </w:p>
          <w:p w14:paraId="70E37B37" w14:textId="77777777" w:rsidR="00DE5934" w:rsidRDefault="006A533D">
            <w:pPr>
              <w:spacing w:before="120" w:after="120"/>
              <w:jc w:val="both"/>
            </w:pPr>
            <w:r>
              <w:rPr>
                <w:sz w:val="26"/>
              </w:rPr>
              <w:t>- Biên bản kiểm tra hoặc kết luận của cấp trên về việc thanh tra, kiểm toán,...) có đánh giá về các nội dung có liên quan.</w:t>
            </w:r>
          </w:p>
        </w:tc>
        <w:tc>
          <w:tcPr>
            <w:tcW w:w="1265" w:type="dxa"/>
            <w:shd w:val="clear" w:color="auto" w:fill="auto"/>
          </w:tcPr>
          <w:p w14:paraId="61FAE9BC" w14:textId="77777777" w:rsidR="00DE5934" w:rsidRDefault="00DE5934"/>
        </w:tc>
        <w:tc>
          <w:tcPr>
            <w:tcW w:w="1254" w:type="dxa"/>
            <w:gridSpan w:val="2"/>
            <w:shd w:val="clear" w:color="auto" w:fill="auto"/>
          </w:tcPr>
          <w:p w14:paraId="71E5BBC4" w14:textId="77777777" w:rsidR="00DE5934" w:rsidRDefault="00DE5934"/>
        </w:tc>
      </w:tr>
      <w:tr w:rsidR="00F84B1A" w:rsidRPr="00001753" w14:paraId="380DACED" w14:textId="77777777" w:rsidTr="00A45F44">
        <w:trPr>
          <w:gridAfter w:val="1"/>
          <w:wAfter w:w="10" w:type="dxa"/>
        </w:trPr>
        <w:tc>
          <w:tcPr>
            <w:tcW w:w="1389" w:type="dxa"/>
            <w:shd w:val="clear" w:color="auto" w:fill="auto"/>
          </w:tcPr>
          <w:p w14:paraId="51AD9615" w14:textId="77777777" w:rsidR="00DE5934" w:rsidRDefault="006A533D">
            <w:pPr>
              <w:spacing w:before="120" w:after="120"/>
              <w:jc w:val="both"/>
            </w:pPr>
            <w:r>
              <w:t>Mức 3</w:t>
            </w:r>
          </w:p>
        </w:tc>
        <w:tc>
          <w:tcPr>
            <w:tcW w:w="2722" w:type="dxa"/>
            <w:shd w:val="clear" w:color="auto" w:fill="auto"/>
          </w:tcPr>
          <w:p w14:paraId="0B63784D" w14:textId="77777777" w:rsidR="00DE5934" w:rsidRDefault="00DE5934"/>
        </w:tc>
        <w:tc>
          <w:tcPr>
            <w:tcW w:w="2552" w:type="dxa"/>
            <w:shd w:val="clear" w:color="auto" w:fill="auto"/>
          </w:tcPr>
          <w:p w14:paraId="020ADF31" w14:textId="77777777" w:rsidR="00DE5934" w:rsidRDefault="00DE5934"/>
        </w:tc>
        <w:tc>
          <w:tcPr>
            <w:tcW w:w="1559" w:type="dxa"/>
            <w:shd w:val="clear" w:color="auto" w:fill="auto"/>
          </w:tcPr>
          <w:p w14:paraId="76211DA2" w14:textId="77777777" w:rsidR="00DE5934" w:rsidRDefault="00DE5934"/>
        </w:tc>
        <w:tc>
          <w:tcPr>
            <w:tcW w:w="1265" w:type="dxa"/>
            <w:shd w:val="clear" w:color="auto" w:fill="auto"/>
          </w:tcPr>
          <w:p w14:paraId="6F7AD0F4" w14:textId="77777777" w:rsidR="00DE5934" w:rsidRDefault="00DE5934"/>
        </w:tc>
        <w:tc>
          <w:tcPr>
            <w:tcW w:w="1254" w:type="dxa"/>
            <w:gridSpan w:val="2"/>
            <w:shd w:val="clear" w:color="auto" w:fill="auto"/>
          </w:tcPr>
          <w:p w14:paraId="55AF1035" w14:textId="77777777" w:rsidR="00DE5934" w:rsidRDefault="00DE5934"/>
        </w:tc>
      </w:tr>
      <w:tr w:rsidR="00F84B1A" w:rsidRPr="00001753" w14:paraId="57825106" w14:textId="77777777" w:rsidTr="00A45F44">
        <w:trPr>
          <w:gridAfter w:val="1"/>
          <w:wAfter w:w="10" w:type="dxa"/>
        </w:trPr>
        <w:tc>
          <w:tcPr>
            <w:tcW w:w="1389" w:type="dxa"/>
            <w:shd w:val="clear" w:color="auto" w:fill="auto"/>
          </w:tcPr>
          <w:p w14:paraId="7FAFDA9C" w14:textId="77777777" w:rsidR="00DE5934" w:rsidRDefault="006A533D">
            <w:pPr>
              <w:spacing w:before="120" w:after="120"/>
              <w:jc w:val="both"/>
            </w:pPr>
            <w:r>
              <w:t>*</w:t>
            </w:r>
          </w:p>
        </w:tc>
        <w:tc>
          <w:tcPr>
            <w:tcW w:w="2722" w:type="dxa"/>
            <w:shd w:val="clear" w:color="auto" w:fill="auto"/>
          </w:tcPr>
          <w:p w14:paraId="18627CB3" w14:textId="77777777" w:rsidR="00DE5934" w:rsidRDefault="006A533D">
            <w:pPr>
              <w:spacing w:before="120" w:after="120"/>
              <w:jc w:val="both"/>
            </w:pPr>
            <w:r>
              <w:rPr>
                <w:sz w:val="26"/>
              </w:rPr>
              <w:t xml:space="preserve">Có kế hoạch ngắn hạn, trung hạn, dài hạn để tạo ra các nguồn tài chính </w:t>
            </w:r>
            <w:r>
              <w:rPr>
                <w:sz w:val="26"/>
              </w:rPr>
              <w:lastRenderedPageBreak/>
              <w:t>hợp pháp phù hợp với điều kiện nhà trường, thực tế địa phương.</w:t>
            </w:r>
          </w:p>
        </w:tc>
        <w:tc>
          <w:tcPr>
            <w:tcW w:w="2552" w:type="dxa"/>
            <w:shd w:val="clear" w:color="auto" w:fill="auto"/>
          </w:tcPr>
          <w:p w14:paraId="15569368" w14:textId="77777777" w:rsidR="00DE5934" w:rsidRDefault="00DE5934"/>
        </w:tc>
        <w:tc>
          <w:tcPr>
            <w:tcW w:w="1559" w:type="dxa"/>
            <w:shd w:val="clear" w:color="auto" w:fill="auto"/>
          </w:tcPr>
          <w:p w14:paraId="3561AEFC" w14:textId="77777777" w:rsidR="00DE5934" w:rsidRDefault="006A533D">
            <w:pPr>
              <w:spacing w:before="120" w:after="120"/>
              <w:jc w:val="both"/>
            </w:pPr>
            <w:r>
              <w:rPr>
                <w:sz w:val="26"/>
              </w:rPr>
              <w:t xml:space="preserve">Có kế hoạch ngắn hạn, trung hạn, </w:t>
            </w:r>
            <w:r>
              <w:rPr>
                <w:sz w:val="26"/>
              </w:rPr>
              <w:lastRenderedPageBreak/>
              <w:t>dài hạn để tạo ra các nguồn tài chính hợp pháp phù hợp với điều kiện nhà trường, thực tế địa phương.</w:t>
            </w:r>
          </w:p>
          <w:p w14:paraId="7F82C7D8" w14:textId="77777777" w:rsidR="00DE5934" w:rsidRDefault="006A533D">
            <w:pPr>
              <w:spacing w:before="120" w:after="120"/>
              <w:jc w:val="both"/>
            </w:pPr>
            <w:r>
              <w:rPr>
                <w:sz w:val="26"/>
              </w:rPr>
              <w:t>Gợi ý các minh chứng:</w:t>
            </w:r>
          </w:p>
          <w:p w14:paraId="5739A28D" w14:textId="77777777" w:rsidR="00DE5934" w:rsidRDefault="006A533D">
            <w:pPr>
              <w:spacing w:before="120" w:after="120"/>
              <w:jc w:val="both"/>
            </w:pPr>
            <w:r>
              <w:rPr>
                <w:sz w:val="26"/>
              </w:rPr>
              <w:t>- Sổ nghị quyết của nhà trường và nghị quyết của Hội đồng trường;</w:t>
            </w:r>
          </w:p>
          <w:p w14:paraId="591DE971" w14:textId="77777777" w:rsidR="00DE5934" w:rsidRDefault="006A533D">
            <w:pPr>
              <w:spacing w:before="120" w:after="120"/>
              <w:jc w:val="both"/>
            </w:pPr>
            <w:r>
              <w:rPr>
                <w:sz w:val="26"/>
              </w:rPr>
              <w:t>- Các tờ trình, đề án, văn bản đề nghị của nhà trường với cấp có thẩm quyền tạo nguồn tài chính cho nhà trường; </w:t>
            </w:r>
          </w:p>
          <w:p w14:paraId="6B91754E" w14:textId="77777777" w:rsidR="00DE5934" w:rsidRDefault="006A533D">
            <w:pPr>
              <w:spacing w:before="120" w:after="120"/>
              <w:jc w:val="both"/>
            </w:pPr>
            <w:r>
              <w:rPr>
                <w:sz w:val="26"/>
              </w:rPr>
              <w:t>- Kế hoạch ngắn hạn, trung hạn, dài hạn để tạo ra các nguồn tài chính hợp pháp;</w:t>
            </w:r>
          </w:p>
          <w:p w14:paraId="464E28B2" w14:textId="77777777" w:rsidR="00DE5934" w:rsidRDefault="006A533D">
            <w:pPr>
              <w:spacing w:before="120" w:after="120"/>
              <w:jc w:val="both"/>
            </w:pPr>
            <w:r>
              <w:rPr>
                <w:sz w:val="26"/>
              </w:rPr>
              <w:lastRenderedPageBreak/>
              <w:t>- Sổ quản lý tài chính;</w:t>
            </w:r>
          </w:p>
          <w:p w14:paraId="3F7C1C24" w14:textId="77777777" w:rsidR="00DE5934" w:rsidRDefault="006A533D">
            <w:pPr>
              <w:spacing w:before="120" w:after="120"/>
              <w:jc w:val="both"/>
            </w:pPr>
            <w:r>
              <w:rPr>
                <w:sz w:val="26"/>
              </w:rPr>
              <w:t>- Báo cáo sơ kết, tổng kết.</w:t>
            </w:r>
          </w:p>
        </w:tc>
        <w:tc>
          <w:tcPr>
            <w:tcW w:w="1265" w:type="dxa"/>
            <w:shd w:val="clear" w:color="auto" w:fill="auto"/>
          </w:tcPr>
          <w:p w14:paraId="17506500" w14:textId="77777777" w:rsidR="00DE5934" w:rsidRDefault="00DE5934"/>
        </w:tc>
        <w:tc>
          <w:tcPr>
            <w:tcW w:w="1254" w:type="dxa"/>
            <w:gridSpan w:val="2"/>
            <w:shd w:val="clear" w:color="auto" w:fill="auto"/>
          </w:tcPr>
          <w:p w14:paraId="023F7544" w14:textId="77777777" w:rsidR="00DE5934" w:rsidRDefault="00DE5934"/>
        </w:tc>
      </w:tr>
    </w:tbl>
    <w:p w14:paraId="1DB086FB" w14:textId="7A9CE361" w:rsidR="00936290" w:rsidRDefault="00936290"/>
    <w:tbl>
      <w:tblPr>
        <w:tblW w:w="0" w:type="auto"/>
        <w:tblLook w:val="01E0" w:firstRow="1" w:lastRow="1" w:firstColumn="1" w:lastColumn="1" w:noHBand="0" w:noVBand="0"/>
      </w:tblPr>
      <w:tblGrid>
        <w:gridCol w:w="3936"/>
        <w:gridCol w:w="5244"/>
      </w:tblGrid>
      <w:tr w:rsidR="00FE4859" w:rsidRPr="008A4E8F" w14:paraId="0923505F" w14:textId="77777777" w:rsidTr="00D15C66">
        <w:trPr>
          <w:cantSplit/>
          <w:trHeight w:val="80"/>
        </w:trPr>
        <w:tc>
          <w:tcPr>
            <w:tcW w:w="3936" w:type="dxa"/>
            <w:shd w:val="clear" w:color="auto" w:fill="auto"/>
          </w:tcPr>
          <w:p w14:paraId="7CF8264C" w14:textId="77777777" w:rsidR="00FE4859" w:rsidRDefault="00FE4859" w:rsidP="00D15C66">
            <w:pPr>
              <w:spacing w:before="120" w:after="120"/>
              <w:jc w:val="center"/>
              <w:rPr>
                <w:rFonts w:eastAsia="MS Mincho"/>
                <w:b/>
                <w:szCs w:val="28"/>
                <w:lang w:val="nb-NO"/>
              </w:rPr>
            </w:pPr>
          </w:p>
          <w:p w14:paraId="56E23E40" w14:textId="77777777" w:rsidR="00FE4859" w:rsidRPr="00567E39" w:rsidRDefault="00FE4859" w:rsidP="00D15C66">
            <w:pPr>
              <w:spacing w:before="120" w:after="120"/>
              <w:jc w:val="center"/>
              <w:rPr>
                <w:rFonts w:eastAsia="MS Mincho"/>
                <w:b/>
                <w:szCs w:val="28"/>
                <w:lang w:val="nb-NO"/>
              </w:rPr>
            </w:pPr>
            <w:r w:rsidRPr="00567E39">
              <w:rPr>
                <w:rFonts w:eastAsia="MS Mincho"/>
                <w:b/>
                <w:szCs w:val="28"/>
                <w:lang w:val="nb-NO"/>
              </w:rPr>
              <w:t>Xác nhậ</w:t>
            </w:r>
            <w:r>
              <w:rPr>
                <w:rFonts w:eastAsia="MS Mincho"/>
                <w:b/>
                <w:szCs w:val="28"/>
                <w:lang w:val="nb-NO"/>
              </w:rPr>
              <w:t>n</w:t>
            </w:r>
            <w:r>
              <w:rPr>
                <w:rFonts w:eastAsia="MS Mincho"/>
                <w:b/>
                <w:szCs w:val="28"/>
                <w:lang w:val="nb-NO"/>
              </w:rPr>
              <w:br/>
            </w:r>
            <w:r w:rsidRPr="00567E39">
              <w:rPr>
                <w:rFonts w:eastAsia="MS Mincho"/>
                <w:b/>
                <w:szCs w:val="28"/>
                <w:lang w:val="nb-NO"/>
              </w:rPr>
              <w:t>của trưởng nhóm công tác</w:t>
            </w:r>
          </w:p>
          <w:p w14:paraId="407AF4D7" w14:textId="77777777" w:rsidR="00FE4859" w:rsidRPr="00567E39" w:rsidRDefault="00FE4859" w:rsidP="00D15C66">
            <w:pPr>
              <w:spacing w:before="120" w:after="120"/>
              <w:jc w:val="center"/>
              <w:rPr>
                <w:rFonts w:eastAsia="MS Mincho"/>
                <w:b/>
                <w:szCs w:val="28"/>
                <w:lang w:val="nb-NO"/>
              </w:rPr>
            </w:pPr>
          </w:p>
          <w:p w14:paraId="480FC2E8" w14:textId="77777777" w:rsidR="00FE4859" w:rsidRPr="00567E39" w:rsidRDefault="00FE4859" w:rsidP="00D15C66">
            <w:pPr>
              <w:spacing w:before="120" w:after="120"/>
              <w:jc w:val="center"/>
              <w:rPr>
                <w:rFonts w:eastAsia="MS Mincho"/>
                <w:b/>
                <w:szCs w:val="28"/>
                <w:lang w:val="nb-NO"/>
              </w:rPr>
            </w:pPr>
          </w:p>
          <w:p w14:paraId="1FB52037" w14:textId="77777777" w:rsidR="00FE4859" w:rsidRPr="00567E39" w:rsidRDefault="00FE4859" w:rsidP="00D15C66">
            <w:pPr>
              <w:spacing w:before="120" w:after="120"/>
              <w:jc w:val="center"/>
              <w:rPr>
                <w:rFonts w:eastAsia="MS Mincho"/>
                <w:b/>
                <w:szCs w:val="28"/>
                <w:lang w:val="nb-NO"/>
              </w:rPr>
            </w:pPr>
          </w:p>
          <w:p w14:paraId="02A1A0F8" w14:textId="77777777" w:rsidR="00FE4859" w:rsidRPr="00567E39" w:rsidRDefault="00FE4859" w:rsidP="00D15C66">
            <w:pPr>
              <w:spacing w:before="120" w:after="120"/>
              <w:jc w:val="center"/>
              <w:rPr>
                <w:rFonts w:eastAsia="MS Mincho"/>
                <w:b/>
                <w:szCs w:val="28"/>
                <w:lang w:val="nb-NO"/>
              </w:rPr>
            </w:pPr>
          </w:p>
          <w:p w14:paraId="0DA90C69" w14:textId="77777777" w:rsidR="00FE4859" w:rsidRPr="008A4E8F" w:rsidRDefault="00FE4859" w:rsidP="00D15C66">
            <w:pPr>
              <w:spacing w:before="120" w:after="120"/>
              <w:jc w:val="center"/>
              <w:rPr>
                <w:rFonts w:eastAsia="MS Mincho"/>
                <w:b/>
                <w:szCs w:val="28"/>
                <w:lang w:val="nb-NO"/>
              </w:rPr>
            </w:pPr>
          </w:p>
        </w:tc>
        <w:tc>
          <w:tcPr>
            <w:tcW w:w="5244" w:type="dxa"/>
            <w:shd w:val="clear" w:color="auto" w:fill="auto"/>
          </w:tcPr>
          <w:p w14:paraId="294DC21C" w14:textId="77777777" w:rsidR="00FE4859" w:rsidRPr="00567E39" w:rsidRDefault="00FE4859" w:rsidP="00D15C66">
            <w:pPr>
              <w:spacing w:before="120" w:after="120"/>
              <w:jc w:val="center"/>
              <w:rPr>
                <w:rFonts w:eastAsia="MS Mincho"/>
                <w:i/>
                <w:szCs w:val="28"/>
                <w:lang w:val="nb-NO"/>
              </w:rPr>
            </w:pPr>
            <w:r w:rsidRPr="00567E39">
              <w:rPr>
                <w:rFonts w:eastAsia="MS Mincho"/>
                <w:i/>
                <w:szCs w:val="28"/>
                <w:lang w:val="nb-NO"/>
              </w:rPr>
              <w:t xml:space="preserve"> Kiên Giang, ngày </w:t>
            </w:r>
            <w:r>
              <w:rPr>
                <w:rFonts w:eastAsia="MS Mincho"/>
                <w:i/>
                <w:szCs w:val="28"/>
                <w:lang w:val="nb-NO"/>
              </w:rPr>
              <w:t>05</w:t>
            </w:r>
            <w:r w:rsidRPr="00567E39">
              <w:rPr>
                <w:rFonts w:eastAsia="MS Mincho"/>
                <w:i/>
                <w:szCs w:val="28"/>
                <w:lang w:val="nb-NO"/>
              </w:rPr>
              <w:t xml:space="preserve"> tháng 12 năm 2022</w:t>
            </w:r>
          </w:p>
          <w:p w14:paraId="271C6BDD" w14:textId="77777777" w:rsidR="00FE4859" w:rsidRPr="00567E39" w:rsidRDefault="00FE4859" w:rsidP="00D15C66">
            <w:pPr>
              <w:spacing w:before="120" w:after="120"/>
              <w:jc w:val="center"/>
              <w:rPr>
                <w:rFonts w:eastAsia="MS Mincho"/>
                <w:i/>
                <w:szCs w:val="28"/>
                <w:lang w:val="nb-NO"/>
              </w:rPr>
            </w:pPr>
            <w:r w:rsidRPr="00567E39">
              <w:rPr>
                <w:rFonts w:eastAsia="MS Mincho"/>
                <w:b/>
                <w:szCs w:val="28"/>
                <w:lang w:val="nb-NO"/>
              </w:rPr>
              <w:t>Người viết</w:t>
            </w:r>
            <w:r>
              <w:rPr>
                <w:rFonts w:eastAsia="MS Mincho"/>
                <w:b/>
                <w:szCs w:val="28"/>
                <w:lang w:val="nb-NO"/>
              </w:rPr>
              <w:br/>
            </w:r>
            <w:r w:rsidRPr="00567E39">
              <w:rPr>
                <w:rFonts w:eastAsia="MS Mincho"/>
                <w:i/>
                <w:szCs w:val="28"/>
                <w:lang w:val="nb-NO"/>
              </w:rPr>
              <w:t>(</w:t>
            </w:r>
            <w:r>
              <w:rPr>
                <w:rFonts w:eastAsia="MS Mincho"/>
                <w:i/>
                <w:szCs w:val="28"/>
                <w:lang w:val="nb-NO"/>
              </w:rPr>
              <w:t xml:space="preserve">Ký </w:t>
            </w:r>
            <w:r w:rsidRPr="00567E39">
              <w:rPr>
                <w:rFonts w:eastAsia="MS Mincho"/>
                <w:i/>
                <w:szCs w:val="28"/>
                <w:lang w:val="nb-NO"/>
              </w:rPr>
              <w:t>tên)</w:t>
            </w:r>
          </w:p>
          <w:p w14:paraId="0862BFE6" w14:textId="77777777" w:rsidR="00FE4859" w:rsidRPr="00567E39" w:rsidRDefault="00FE4859" w:rsidP="00D15C66">
            <w:pPr>
              <w:spacing w:before="120" w:after="120"/>
              <w:jc w:val="center"/>
              <w:rPr>
                <w:rFonts w:eastAsia="MS Mincho"/>
                <w:i/>
                <w:szCs w:val="28"/>
                <w:lang w:val="nb-NO"/>
              </w:rPr>
            </w:pPr>
          </w:p>
          <w:p w14:paraId="4F68A063" w14:textId="77777777" w:rsidR="00FE4859" w:rsidRPr="00567E39" w:rsidRDefault="00FE4859" w:rsidP="00D15C66">
            <w:pPr>
              <w:spacing w:before="120" w:after="120"/>
              <w:jc w:val="center"/>
              <w:rPr>
                <w:rFonts w:eastAsia="MS Mincho"/>
                <w:i/>
                <w:szCs w:val="28"/>
                <w:lang w:val="nb-NO"/>
              </w:rPr>
            </w:pPr>
          </w:p>
          <w:p w14:paraId="7BDDDAE4" w14:textId="642DC1E3" w:rsidR="00FE4859" w:rsidRPr="008A4E8F" w:rsidRDefault="00FE4859" w:rsidP="00D15C66">
            <w:pPr>
              <w:spacing w:before="120" w:after="120"/>
              <w:jc w:val="center"/>
              <w:rPr>
                <w:rFonts w:eastAsia="MS Mincho"/>
                <w:b/>
                <w:szCs w:val="28"/>
                <w:lang w:val="nb-NO"/>
              </w:rPr>
            </w:pPr>
          </w:p>
        </w:tc>
      </w:tr>
    </w:tbl>
    <w:p w14:paraId="6FCBEAB5" w14:textId="77777777" w:rsidR="00FE4859" w:rsidRDefault="00FE4859"/>
    <w:sectPr w:rsidR="00FE4859"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32F0" w14:textId="77777777" w:rsidR="00A45F44" w:rsidRDefault="00A45F44" w:rsidP="00A45F44">
      <w:r>
        <w:separator/>
      </w:r>
    </w:p>
  </w:endnote>
  <w:endnote w:type="continuationSeparator" w:id="0">
    <w:p w14:paraId="714144DF" w14:textId="77777777" w:rsidR="00A45F44" w:rsidRDefault="00A45F44" w:rsidP="00A4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7B20" w14:textId="77777777" w:rsidR="00A45F44" w:rsidRDefault="00A45F44" w:rsidP="00A45F44">
      <w:r>
        <w:separator/>
      </w:r>
    </w:p>
  </w:footnote>
  <w:footnote w:type="continuationSeparator" w:id="0">
    <w:p w14:paraId="594B0270" w14:textId="77777777" w:rsidR="00A45F44" w:rsidRDefault="00A45F44" w:rsidP="00A4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3249"/>
      <w:docPartObj>
        <w:docPartGallery w:val="Page Numbers (Top of Page)"/>
        <w:docPartUnique/>
      </w:docPartObj>
    </w:sdtPr>
    <w:sdtEndPr>
      <w:rPr>
        <w:noProof/>
      </w:rPr>
    </w:sdtEndPr>
    <w:sdtContent>
      <w:p w14:paraId="2963D22D" w14:textId="391ADDE3" w:rsidR="00A45F44" w:rsidRDefault="00A45F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A9FDE7" w14:textId="77777777" w:rsidR="00A45F44" w:rsidRDefault="00A45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C0835"/>
    <w:rsid w:val="005C7B4F"/>
    <w:rsid w:val="00651FAF"/>
    <w:rsid w:val="006A533D"/>
    <w:rsid w:val="007C5881"/>
    <w:rsid w:val="00812FEF"/>
    <w:rsid w:val="00884BC7"/>
    <w:rsid w:val="00936290"/>
    <w:rsid w:val="009B428C"/>
    <w:rsid w:val="009B505F"/>
    <w:rsid w:val="009F49C7"/>
    <w:rsid w:val="00A20F9D"/>
    <w:rsid w:val="00A45F44"/>
    <w:rsid w:val="00A910D5"/>
    <w:rsid w:val="00B1622C"/>
    <w:rsid w:val="00BD0564"/>
    <w:rsid w:val="00BF3E9C"/>
    <w:rsid w:val="00D70C85"/>
    <w:rsid w:val="00DE5934"/>
    <w:rsid w:val="00F74296"/>
    <w:rsid w:val="00F84B1A"/>
    <w:rsid w:val="00FE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A45F44"/>
    <w:pPr>
      <w:tabs>
        <w:tab w:val="center" w:pos="4680"/>
        <w:tab w:val="right" w:pos="9360"/>
      </w:tabs>
    </w:pPr>
  </w:style>
  <w:style w:type="character" w:customStyle="1" w:styleId="HeaderChar">
    <w:name w:val="Header Char"/>
    <w:basedOn w:val="DefaultParagraphFont"/>
    <w:link w:val="Header"/>
    <w:uiPriority w:val="99"/>
    <w:rsid w:val="00A45F44"/>
    <w:rPr>
      <w:rFonts w:eastAsia="Times New Roman" w:cs="Times New Roman"/>
      <w:sz w:val="28"/>
      <w:szCs w:val="24"/>
    </w:rPr>
  </w:style>
  <w:style w:type="paragraph" w:styleId="Footer">
    <w:name w:val="footer"/>
    <w:basedOn w:val="Normal"/>
    <w:link w:val="FooterChar"/>
    <w:uiPriority w:val="99"/>
    <w:unhideWhenUsed/>
    <w:rsid w:val="00A45F44"/>
    <w:pPr>
      <w:tabs>
        <w:tab w:val="center" w:pos="4680"/>
        <w:tab w:val="right" w:pos="9360"/>
      </w:tabs>
    </w:pPr>
  </w:style>
  <w:style w:type="character" w:customStyle="1" w:styleId="FooterChar">
    <w:name w:val="Footer Char"/>
    <w:basedOn w:val="DefaultParagraphFont"/>
    <w:link w:val="Footer"/>
    <w:uiPriority w:val="99"/>
    <w:rsid w:val="00A45F44"/>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15</cp:revision>
  <dcterms:created xsi:type="dcterms:W3CDTF">2020-11-06T03:08:00Z</dcterms:created>
  <dcterms:modified xsi:type="dcterms:W3CDTF">2022-12-05T21:36:00Z</dcterms:modified>
</cp:coreProperties>
</file>