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6CD93" w14:textId="77777777" w:rsidR="00A20F9D" w:rsidRPr="007C5881" w:rsidRDefault="00A20F9D" w:rsidP="00A20F9D">
      <w:pPr>
        <w:tabs>
          <w:tab w:val="left" w:pos="5175"/>
        </w:tabs>
        <w:spacing w:line="320" w:lineRule="exact"/>
        <w:jc w:val="center"/>
        <w:rPr>
          <w:b/>
          <w:bCs/>
          <w:sz w:val="26"/>
          <w:szCs w:val="26"/>
          <w:lang w:val="nb-NO"/>
        </w:rPr>
      </w:pPr>
      <w:r w:rsidRPr="007C5881">
        <w:rPr>
          <w:b/>
          <w:sz w:val="26"/>
          <w:szCs w:val="26"/>
          <w:lang w:val="nb-NO"/>
        </w:rPr>
        <w:t>Phụ lục 2</w:t>
      </w:r>
    </w:p>
    <w:p w14:paraId="78B961E2"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 xml:space="preserve">Phiếu xác định nội hàm, phân tích tiêu chí tìm minh chứng tiêu chí </w:t>
      </w:r>
    </w:p>
    <w:p w14:paraId="7AED0100"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thuộc Mức 1, 2 và 3</w:t>
      </w:r>
    </w:p>
    <w:p w14:paraId="714C5E66" w14:textId="77777777" w:rsidR="00A20F9D" w:rsidRPr="00F74296" w:rsidRDefault="00A20F9D" w:rsidP="00A20F9D">
      <w:pPr>
        <w:widowControl w:val="0"/>
        <w:tabs>
          <w:tab w:val="left" w:pos="700"/>
          <w:tab w:val="left" w:pos="5040"/>
        </w:tabs>
        <w:spacing w:line="320" w:lineRule="exact"/>
        <w:ind w:firstLine="720"/>
        <w:outlineLvl w:val="2"/>
        <w:rPr>
          <w:b/>
          <w:szCs w:val="28"/>
          <w:lang w:val="da-DK"/>
        </w:rPr>
      </w:pPr>
    </w:p>
    <w:p w14:paraId="19CE6392" w14:textId="77777777"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Nhóm công tác hoặc cá nhân</w:t>
      </w:r>
      <w:r w:rsidR="00D70C85" w:rsidRPr="00F74296">
        <w:rPr>
          <w:b/>
          <w:szCs w:val="28"/>
          <w:lang w:val="da-DK"/>
        </w:rPr>
        <w:t xml:space="preserve">: </w:t>
      </w:r>
      <w:r w:rsidR="00005821" w:rsidRPr="00F74296">
        <w:rPr>
          <w:b/>
          <w:szCs w:val="28"/>
          <w:lang w:val="da-DK"/>
        </w:rPr>
        <w:t>Nhóm 3</w:t>
      </w:r>
    </w:p>
    <w:p w14:paraId="1DCE9CE7" w14:textId="77777777"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Tiêu chuẩn</w:t>
      </w:r>
      <w:r w:rsidR="00D70C85" w:rsidRPr="00F74296">
        <w:rPr>
          <w:b/>
          <w:szCs w:val="28"/>
          <w:lang w:val="da-DK"/>
        </w:rPr>
        <w:t xml:space="preserve"> </w:t>
      </w:r>
      <w:r w:rsidR="00005821" w:rsidRPr="00F74296">
        <w:rPr>
          <w:b/>
          <w:szCs w:val="28"/>
          <w:lang w:val="da-DK"/>
        </w:rPr>
        <w:t>3: Cơ sở vật chất và thiết bị dạy học</w:t>
      </w:r>
    </w:p>
    <w:p w14:paraId="1A65FAA0" w14:textId="77777777" w:rsidR="00A20F9D" w:rsidRPr="007C5881" w:rsidRDefault="00A20F9D" w:rsidP="00A20F9D">
      <w:pPr>
        <w:widowControl w:val="0"/>
        <w:tabs>
          <w:tab w:val="left" w:pos="700"/>
          <w:tab w:val="left" w:pos="5040"/>
        </w:tabs>
        <w:spacing w:line="320" w:lineRule="exact"/>
        <w:ind w:firstLine="720"/>
        <w:outlineLvl w:val="2"/>
        <w:rPr>
          <w:sz w:val="26"/>
          <w:szCs w:val="26"/>
          <w:lang w:val="da-DK"/>
        </w:rPr>
      </w:pPr>
      <w:r w:rsidRPr="007C5881">
        <w:rPr>
          <w:i/>
          <w:sz w:val="26"/>
          <w:szCs w:val="26"/>
          <w:lang w:val="da-DK"/>
        </w:rPr>
        <w:t>Tiêu ch</w:t>
      </w:r>
      <w:r w:rsidR="00566218">
        <w:rPr>
          <w:i/>
          <w:sz w:val="26"/>
          <w:szCs w:val="26"/>
          <w:lang w:val="da-DK"/>
        </w:rPr>
        <w:t>í</w:t>
      </w:r>
      <w:r w:rsidR="00005821">
        <w:rPr>
          <w:i/>
          <w:sz w:val="26"/>
          <w:szCs w:val="26"/>
          <w:lang w:val="da-DK"/>
        </w:rPr>
        <w:t xml:space="preserve"> 4: Khu vệ sinh, hệ thống cấp thoát nước</w:t>
      </w:r>
    </w:p>
    <w:p w14:paraId="554C8226" w14:textId="77777777" w:rsidR="007C5881" w:rsidRDefault="00A20F9D" w:rsidP="003B57E9">
      <w:pPr>
        <w:shd w:val="clear" w:color="auto" w:fill="FFFFFF"/>
        <w:spacing w:line="320" w:lineRule="exact"/>
        <w:ind w:firstLine="720"/>
        <w:jc w:val="both"/>
        <w:rPr>
          <w:rFonts w:ascii="Arial" w:hAnsi="Arial" w:cs="Arial"/>
          <w:color w:val="276F86"/>
          <w:sz w:val="26"/>
          <w:szCs w:val="26"/>
          <w:shd w:val="clear" w:color="auto" w:fill="F8FFFF"/>
        </w:rPr>
      </w:pPr>
      <w:r w:rsidRPr="007C5881">
        <w:rPr>
          <w:sz w:val="26"/>
          <w:szCs w:val="26"/>
          <w:lang w:val="nb-NO"/>
        </w:rPr>
        <w:t>Mức 1:</w:t>
      </w:r>
      <w:r w:rsidR="007C5881" w:rsidRPr="007C5881">
        <w:rPr>
          <w:rFonts w:ascii="Arial" w:hAnsi="Arial" w:cs="Arial"/>
          <w:color w:val="276F86"/>
          <w:sz w:val="26"/>
          <w:szCs w:val="26"/>
          <w:shd w:val="clear" w:color="auto" w:fill="F8FFFF"/>
        </w:rPr>
        <w:t xml:space="preserve"> </w:t>
      </w:r>
    </w:p>
    <w:p w14:paraId="7329C438" w14:textId="77777777" w:rsidR="00D64491" w:rsidRDefault="00DA5D64">
      <w:pPr>
        <w:spacing w:before="120" w:after="120"/>
        <w:jc w:val="both"/>
      </w:pPr>
      <w:r>
        <w:rPr>
          <w:sz w:val="26"/>
        </w:rPr>
        <w:tab/>
        <w:t>- Khu vệ sinh riêng cho nam, nữ, giáo viên, nhân viên, học sinh đảm bảo không ô nhiễm môi trường; khu vệ sinh đảm bảo sử dụng thuận lợi cho học sinh khuyết tật học hòa nhập;</w:t>
      </w:r>
    </w:p>
    <w:p w14:paraId="24597F13" w14:textId="77777777" w:rsidR="00D64491" w:rsidRDefault="00DA5D64">
      <w:pPr>
        <w:spacing w:before="120" w:after="120"/>
        <w:jc w:val="both"/>
      </w:pPr>
      <w:r>
        <w:rPr>
          <w:sz w:val="26"/>
        </w:rPr>
        <w:tab/>
        <w:t>- Có hệ thống thoát nước đảm bảo vệ sinh môi trường; hệ thống cấp nước sạch đảm bảo nước uống và nước sinh hoạt cho giáo viên, nhân viên và học sinh.</w:t>
      </w:r>
    </w:p>
    <w:p w14:paraId="186CB094" w14:textId="77777777" w:rsidR="00D64491" w:rsidRDefault="00DA5D64">
      <w:pPr>
        <w:spacing w:before="120" w:after="120"/>
        <w:jc w:val="both"/>
      </w:pPr>
      <w:r>
        <w:rPr>
          <w:sz w:val="26"/>
        </w:rPr>
        <w:tab/>
        <w:t>- Thu gom rác và xử lý chất thải đảm bảo vệ sinh môi trường.</w:t>
      </w:r>
    </w:p>
    <w:p w14:paraId="1CBEEBD8" w14:textId="77777777" w:rsidR="003B57E9" w:rsidRDefault="00A20F9D" w:rsidP="007C5881">
      <w:pPr>
        <w:spacing w:line="320" w:lineRule="exact"/>
        <w:ind w:firstLine="720"/>
        <w:jc w:val="both"/>
        <w:rPr>
          <w:sz w:val="26"/>
          <w:szCs w:val="26"/>
          <w:lang w:val="nb-NO"/>
        </w:rPr>
      </w:pPr>
      <w:r w:rsidRPr="007C5881">
        <w:rPr>
          <w:sz w:val="26"/>
          <w:szCs w:val="26"/>
          <w:lang w:val="nb-NO"/>
        </w:rPr>
        <w:t>Mức 2:</w:t>
      </w:r>
    </w:p>
    <w:p w14:paraId="636A7B48" w14:textId="77777777" w:rsidR="00D64491" w:rsidRDefault="00DA5D64">
      <w:pPr>
        <w:spacing w:before="120" w:after="120"/>
        <w:jc w:val="both"/>
      </w:pPr>
      <w:r>
        <w:rPr>
          <w:sz w:val="26"/>
        </w:rPr>
        <w:tab/>
        <w:t>- Khu vệ sinh riêng cho nam, nữ, giáo viên, nhân viên, học sinh đảm bảo không ô nhiễm môi trường; khu vệ sinh đảm bảo sử dụng thuận lợi cho học sinh khuyết tật học hòa nhập;</w:t>
      </w:r>
    </w:p>
    <w:p w14:paraId="070873BE" w14:textId="77777777" w:rsidR="00D64491" w:rsidRDefault="00DA5D64">
      <w:pPr>
        <w:spacing w:before="120" w:after="120"/>
        <w:jc w:val="both"/>
      </w:pPr>
      <w:r>
        <w:rPr>
          <w:sz w:val="26"/>
        </w:rPr>
        <w:tab/>
        <w:t>- Có hệ thống thoát nước đảm bảo vệ sinh môi trường; hệ thống cấp nước sạch đảm bảo nước uống và nước sinh hoạt cho giáo viên, nhân viên và học sinh.</w:t>
      </w:r>
    </w:p>
    <w:p w14:paraId="6A4CF9CA" w14:textId="77777777" w:rsidR="00D64491" w:rsidRDefault="00DA5D64">
      <w:pPr>
        <w:spacing w:before="120" w:after="120"/>
        <w:jc w:val="both"/>
      </w:pPr>
      <w:r>
        <w:rPr>
          <w:sz w:val="26"/>
        </w:rPr>
        <w:tab/>
        <w:t>- Thu gom rác và xử lý chất thải đảm bảo vệ sinh môi trường.</w:t>
      </w:r>
    </w:p>
    <w:p w14:paraId="2617BC4F" w14:textId="77777777" w:rsidR="00A20F9D" w:rsidRDefault="00A20F9D" w:rsidP="003B57E9">
      <w:pPr>
        <w:spacing w:line="320" w:lineRule="exact"/>
        <w:ind w:firstLine="720"/>
        <w:jc w:val="both"/>
        <w:rPr>
          <w:sz w:val="26"/>
          <w:szCs w:val="26"/>
          <w:lang w:val="nb-NO"/>
        </w:rPr>
      </w:pPr>
      <w:r w:rsidRPr="007C5881">
        <w:rPr>
          <w:sz w:val="26"/>
          <w:szCs w:val="26"/>
          <w:lang w:val="nb-NO"/>
        </w:rPr>
        <w:t>Mức 3:</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863"/>
        <w:gridCol w:w="2434"/>
        <w:gridCol w:w="1158"/>
        <w:gridCol w:w="1220"/>
        <w:gridCol w:w="1203"/>
      </w:tblGrid>
      <w:tr w:rsidR="00F84B1A" w:rsidRPr="00001753" w14:paraId="20E4521D" w14:textId="77777777" w:rsidTr="00DA5D64">
        <w:trPr>
          <w:tblHeader/>
        </w:trPr>
        <w:tc>
          <w:tcPr>
            <w:tcW w:w="1389" w:type="dxa"/>
            <w:vMerge w:val="restart"/>
            <w:shd w:val="clear" w:color="auto" w:fill="auto"/>
          </w:tcPr>
          <w:p w14:paraId="779FFB30"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Tiêu chí</w:t>
            </w:r>
          </w:p>
          <w:p w14:paraId="4F744E22" w14:textId="77777777" w:rsidR="00D70C85" w:rsidRPr="00001753" w:rsidRDefault="00005821" w:rsidP="00B73342">
            <w:pPr>
              <w:widowControl w:val="0"/>
              <w:spacing w:line="340" w:lineRule="exact"/>
              <w:jc w:val="center"/>
              <w:rPr>
                <w:rFonts w:eastAsia="MS Mincho"/>
                <w:b/>
                <w:bCs/>
                <w:sz w:val="26"/>
                <w:szCs w:val="26"/>
              </w:rPr>
            </w:pPr>
            <w:r>
              <w:rPr>
                <w:rFonts w:eastAsia="MS Mincho"/>
                <w:b/>
                <w:bCs/>
                <w:sz w:val="26"/>
                <w:szCs w:val="26"/>
              </w:rPr>
              <w:t>3.4</w:t>
            </w:r>
          </w:p>
        </w:tc>
        <w:tc>
          <w:tcPr>
            <w:tcW w:w="1553" w:type="dxa"/>
            <w:vMerge w:val="restart"/>
            <w:shd w:val="clear" w:color="auto" w:fill="auto"/>
          </w:tcPr>
          <w:p w14:paraId="3BE64532"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Nội hàm</w:t>
            </w:r>
          </w:p>
        </w:tc>
        <w:tc>
          <w:tcPr>
            <w:tcW w:w="2580" w:type="dxa"/>
            <w:vMerge w:val="restart"/>
            <w:shd w:val="clear" w:color="auto" w:fill="auto"/>
          </w:tcPr>
          <w:p w14:paraId="0BF956A6"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 xml:space="preserve">Các câu hỏi đặt ra </w:t>
            </w:r>
          </w:p>
          <w:p w14:paraId="777DDCB8"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(ứng với mỗi nội hàm)</w:t>
            </w:r>
          </w:p>
        </w:tc>
        <w:tc>
          <w:tcPr>
            <w:tcW w:w="2438" w:type="dxa"/>
            <w:gridSpan w:val="2"/>
            <w:shd w:val="clear" w:color="auto" w:fill="auto"/>
          </w:tcPr>
          <w:p w14:paraId="32896473"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Minh chứng</w:t>
            </w:r>
          </w:p>
        </w:tc>
        <w:tc>
          <w:tcPr>
            <w:tcW w:w="1254" w:type="dxa"/>
            <w:vMerge w:val="restart"/>
            <w:shd w:val="clear" w:color="auto" w:fill="auto"/>
          </w:tcPr>
          <w:p w14:paraId="5BDF4EF1"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Ghi chú</w:t>
            </w:r>
          </w:p>
        </w:tc>
      </w:tr>
      <w:tr w:rsidR="00F84B1A" w:rsidRPr="00001753" w14:paraId="2F67F0C4" w14:textId="77777777" w:rsidTr="00F74296">
        <w:tc>
          <w:tcPr>
            <w:tcW w:w="1389" w:type="dxa"/>
            <w:vMerge/>
            <w:shd w:val="clear" w:color="auto" w:fill="auto"/>
          </w:tcPr>
          <w:p w14:paraId="722EDEDA" w14:textId="77777777" w:rsidR="00D70C85" w:rsidRPr="00001753" w:rsidRDefault="00D70C85" w:rsidP="00B73342">
            <w:pPr>
              <w:widowControl w:val="0"/>
              <w:spacing w:line="340" w:lineRule="exact"/>
              <w:jc w:val="center"/>
              <w:rPr>
                <w:rFonts w:eastAsia="MS Mincho"/>
                <w:b/>
                <w:bCs/>
                <w:sz w:val="26"/>
                <w:szCs w:val="26"/>
              </w:rPr>
            </w:pPr>
          </w:p>
        </w:tc>
        <w:tc>
          <w:tcPr>
            <w:tcW w:w="1553" w:type="dxa"/>
            <w:vMerge/>
            <w:shd w:val="clear" w:color="auto" w:fill="auto"/>
          </w:tcPr>
          <w:p w14:paraId="0B283381" w14:textId="77777777" w:rsidR="00D70C85" w:rsidRPr="00001753" w:rsidRDefault="00D70C85" w:rsidP="00B73342">
            <w:pPr>
              <w:widowControl w:val="0"/>
              <w:spacing w:line="340" w:lineRule="exact"/>
              <w:jc w:val="center"/>
              <w:rPr>
                <w:rFonts w:eastAsia="MS Mincho"/>
                <w:bCs/>
                <w:sz w:val="26"/>
                <w:szCs w:val="26"/>
              </w:rPr>
            </w:pPr>
          </w:p>
        </w:tc>
        <w:tc>
          <w:tcPr>
            <w:tcW w:w="2580" w:type="dxa"/>
            <w:vMerge/>
            <w:shd w:val="clear" w:color="auto" w:fill="auto"/>
          </w:tcPr>
          <w:p w14:paraId="204C9B54" w14:textId="77777777" w:rsidR="00D70C85" w:rsidRPr="00001753" w:rsidRDefault="00D70C85" w:rsidP="00B73342">
            <w:pPr>
              <w:widowControl w:val="0"/>
              <w:spacing w:line="340" w:lineRule="exact"/>
              <w:jc w:val="center"/>
              <w:rPr>
                <w:rFonts w:eastAsia="MS Mincho"/>
                <w:bCs/>
                <w:sz w:val="26"/>
                <w:szCs w:val="26"/>
              </w:rPr>
            </w:pPr>
          </w:p>
        </w:tc>
        <w:tc>
          <w:tcPr>
            <w:tcW w:w="1173" w:type="dxa"/>
            <w:shd w:val="clear" w:color="auto" w:fill="auto"/>
          </w:tcPr>
          <w:p w14:paraId="35EFB996" w14:textId="77777777" w:rsidR="00D70C85" w:rsidRPr="00D70C85" w:rsidRDefault="00D70C85" w:rsidP="00B73342">
            <w:pPr>
              <w:widowControl w:val="0"/>
              <w:spacing w:line="340" w:lineRule="exact"/>
              <w:jc w:val="center"/>
              <w:rPr>
                <w:rFonts w:eastAsia="MS Mincho"/>
                <w:b/>
                <w:sz w:val="26"/>
                <w:szCs w:val="26"/>
              </w:rPr>
            </w:pPr>
            <w:r w:rsidRPr="00D70C85">
              <w:rPr>
                <w:rFonts w:eastAsia="MS Mincho"/>
                <w:b/>
                <w:sz w:val="26"/>
                <w:szCs w:val="26"/>
              </w:rPr>
              <w:t xml:space="preserve">Cần thu thập </w:t>
            </w:r>
          </w:p>
        </w:tc>
        <w:tc>
          <w:tcPr>
            <w:tcW w:w="1265" w:type="dxa"/>
            <w:shd w:val="clear" w:color="auto" w:fill="auto"/>
          </w:tcPr>
          <w:p w14:paraId="48AF81B0" w14:textId="77777777" w:rsidR="00D70C85" w:rsidRPr="00D70C85" w:rsidRDefault="00D70C85" w:rsidP="00B73342">
            <w:pPr>
              <w:widowControl w:val="0"/>
              <w:spacing w:line="340" w:lineRule="exact"/>
              <w:jc w:val="center"/>
              <w:rPr>
                <w:rFonts w:eastAsia="MS Mincho"/>
                <w:b/>
                <w:sz w:val="26"/>
                <w:szCs w:val="26"/>
              </w:rPr>
            </w:pPr>
            <w:r w:rsidRPr="00D70C85">
              <w:rPr>
                <w:rFonts w:eastAsia="MS Mincho"/>
                <w:b/>
                <w:sz w:val="26"/>
                <w:szCs w:val="26"/>
              </w:rPr>
              <w:t>Nơi thu thập</w:t>
            </w:r>
          </w:p>
        </w:tc>
        <w:tc>
          <w:tcPr>
            <w:tcW w:w="1254" w:type="dxa"/>
            <w:vMerge/>
            <w:shd w:val="clear" w:color="auto" w:fill="auto"/>
          </w:tcPr>
          <w:p w14:paraId="100F20BF" w14:textId="77777777" w:rsidR="00D70C85" w:rsidRPr="00001753" w:rsidRDefault="00D70C85" w:rsidP="00B73342">
            <w:pPr>
              <w:widowControl w:val="0"/>
              <w:spacing w:line="340" w:lineRule="exact"/>
              <w:jc w:val="center"/>
              <w:rPr>
                <w:rFonts w:eastAsia="MS Mincho"/>
                <w:b/>
                <w:bCs/>
                <w:sz w:val="26"/>
                <w:szCs w:val="26"/>
              </w:rPr>
            </w:pPr>
          </w:p>
        </w:tc>
      </w:tr>
      <w:tr w:rsidR="00F84B1A" w:rsidRPr="00001753" w14:paraId="6F38226D" w14:textId="77777777" w:rsidTr="00566218">
        <w:tc>
          <w:tcPr>
            <w:tcW w:w="1389" w:type="dxa"/>
            <w:shd w:val="clear" w:color="auto" w:fill="auto"/>
          </w:tcPr>
          <w:p w14:paraId="418C5D94" w14:textId="77777777" w:rsidR="00D64491" w:rsidRDefault="00DA5D64">
            <w:pPr>
              <w:spacing w:before="120" w:after="120"/>
              <w:jc w:val="both"/>
            </w:pPr>
            <w:r>
              <w:t>Mức 1</w:t>
            </w:r>
          </w:p>
        </w:tc>
        <w:tc>
          <w:tcPr>
            <w:tcW w:w="1553" w:type="dxa"/>
            <w:shd w:val="clear" w:color="auto" w:fill="auto"/>
          </w:tcPr>
          <w:p w14:paraId="40EED074" w14:textId="77777777" w:rsidR="00D64491" w:rsidRDefault="00D64491"/>
        </w:tc>
        <w:tc>
          <w:tcPr>
            <w:tcW w:w="2580" w:type="dxa"/>
            <w:shd w:val="clear" w:color="auto" w:fill="auto"/>
          </w:tcPr>
          <w:p w14:paraId="24BFDC3E" w14:textId="77777777" w:rsidR="00D64491" w:rsidRDefault="00D64491"/>
        </w:tc>
        <w:tc>
          <w:tcPr>
            <w:tcW w:w="1173" w:type="dxa"/>
            <w:shd w:val="clear" w:color="auto" w:fill="auto"/>
          </w:tcPr>
          <w:p w14:paraId="6F70F1CA" w14:textId="77777777" w:rsidR="00D64491" w:rsidRDefault="00D64491"/>
        </w:tc>
        <w:tc>
          <w:tcPr>
            <w:tcW w:w="1265" w:type="dxa"/>
            <w:shd w:val="clear" w:color="auto" w:fill="auto"/>
          </w:tcPr>
          <w:p w14:paraId="5AF8C638" w14:textId="77777777" w:rsidR="00D64491" w:rsidRDefault="00D64491"/>
        </w:tc>
        <w:tc>
          <w:tcPr>
            <w:tcW w:w="1254" w:type="dxa"/>
            <w:shd w:val="clear" w:color="auto" w:fill="auto"/>
          </w:tcPr>
          <w:p w14:paraId="14D94BA8" w14:textId="77777777" w:rsidR="00D64491" w:rsidRDefault="00D64491"/>
        </w:tc>
      </w:tr>
      <w:tr w:rsidR="00F84B1A" w:rsidRPr="00001753" w14:paraId="2E947841" w14:textId="77777777" w:rsidTr="00566218">
        <w:tc>
          <w:tcPr>
            <w:tcW w:w="1389" w:type="dxa"/>
            <w:shd w:val="clear" w:color="auto" w:fill="auto"/>
          </w:tcPr>
          <w:p w14:paraId="578DAADB" w14:textId="77777777" w:rsidR="00D64491" w:rsidRDefault="00DA5D64">
            <w:pPr>
              <w:spacing w:before="120" w:after="120"/>
              <w:jc w:val="both"/>
            </w:pPr>
            <w:r>
              <w:t>a</w:t>
            </w:r>
          </w:p>
        </w:tc>
        <w:tc>
          <w:tcPr>
            <w:tcW w:w="1553" w:type="dxa"/>
            <w:shd w:val="clear" w:color="auto" w:fill="auto"/>
          </w:tcPr>
          <w:p w14:paraId="70E065C1" w14:textId="77777777" w:rsidR="00D64491" w:rsidRDefault="00DA5D64">
            <w:pPr>
              <w:spacing w:before="120" w:after="120"/>
              <w:jc w:val="both"/>
            </w:pPr>
            <w:r>
              <w:rPr>
                <w:sz w:val="26"/>
              </w:rPr>
              <w:t>- Khu vệ sinh riêng cho nam, nữ, giáo viên, nhân viên, học sinh đảm bảo không ô nhiễm môi trường;</w:t>
            </w:r>
          </w:p>
          <w:p w14:paraId="6BAC80EA" w14:textId="77777777" w:rsidR="00D64491" w:rsidRDefault="00DA5D64">
            <w:pPr>
              <w:spacing w:before="120" w:after="120"/>
              <w:jc w:val="both"/>
            </w:pPr>
            <w:r>
              <w:rPr>
                <w:sz w:val="26"/>
              </w:rPr>
              <w:t xml:space="preserve">- Khu vệ sinh đảm bảo sử dụng thuận lợi cho học sinh </w:t>
            </w:r>
            <w:r>
              <w:rPr>
                <w:sz w:val="26"/>
              </w:rPr>
              <w:lastRenderedPageBreak/>
              <w:t>khuyết tật học hòa nhập.</w:t>
            </w:r>
          </w:p>
        </w:tc>
        <w:tc>
          <w:tcPr>
            <w:tcW w:w="2580" w:type="dxa"/>
            <w:shd w:val="clear" w:color="auto" w:fill="auto"/>
          </w:tcPr>
          <w:p w14:paraId="53DA8F1C" w14:textId="77777777" w:rsidR="00D64491" w:rsidRDefault="00D64491"/>
        </w:tc>
        <w:tc>
          <w:tcPr>
            <w:tcW w:w="1173" w:type="dxa"/>
            <w:shd w:val="clear" w:color="auto" w:fill="auto"/>
          </w:tcPr>
          <w:p w14:paraId="02B119FD" w14:textId="77777777" w:rsidR="00D64491" w:rsidRDefault="00DA5D64">
            <w:pPr>
              <w:spacing w:before="120" w:after="120"/>
              <w:jc w:val="both"/>
            </w:pPr>
            <w:r>
              <w:rPr>
                <w:sz w:val="26"/>
              </w:rPr>
              <w:t>- Sổ quản lý tài sản, thiết bị giáo dục;</w:t>
            </w:r>
          </w:p>
          <w:p w14:paraId="5F3EB934" w14:textId="77777777" w:rsidR="00D64491" w:rsidRDefault="00DA5D64">
            <w:pPr>
              <w:spacing w:before="120" w:after="120"/>
              <w:jc w:val="both"/>
            </w:pPr>
            <w:r>
              <w:rPr>
                <w:sz w:val="26"/>
              </w:rPr>
              <w:t>- Biên bản kiểm tra tài sản;</w:t>
            </w:r>
          </w:p>
          <w:p w14:paraId="0453E5E0" w14:textId="77777777" w:rsidR="00D64491" w:rsidRDefault="00DA5D64">
            <w:pPr>
              <w:spacing w:before="120" w:after="120"/>
              <w:jc w:val="both"/>
            </w:pPr>
            <w:r>
              <w:rPr>
                <w:sz w:val="26"/>
              </w:rPr>
              <w:lastRenderedPageBreak/>
              <w:t>- Biên bản kiểm tra của cơ quan y tế về nước sạch;</w:t>
            </w:r>
          </w:p>
          <w:p w14:paraId="21A66EA9" w14:textId="77777777" w:rsidR="00D64491" w:rsidRDefault="00DA5D64">
            <w:pPr>
              <w:spacing w:before="120" w:after="120"/>
              <w:jc w:val="both"/>
            </w:pPr>
            <w:r>
              <w:rPr>
                <w:sz w:val="26"/>
              </w:rPr>
              <w:t>- Báo cáo sơ kết, tổng kết;</w:t>
            </w:r>
          </w:p>
          <w:p w14:paraId="08F00A49" w14:textId="77777777" w:rsidR="00D64491" w:rsidRDefault="00DA5D64">
            <w:pPr>
              <w:spacing w:before="120" w:after="120"/>
              <w:jc w:val="both"/>
            </w:pPr>
            <w:r>
              <w:rPr>
                <w:sz w:val="26"/>
              </w:rPr>
              <w:t>- Các hình ảnh liên quan (nếu có).</w:t>
            </w:r>
          </w:p>
        </w:tc>
        <w:tc>
          <w:tcPr>
            <w:tcW w:w="1265" w:type="dxa"/>
            <w:shd w:val="clear" w:color="auto" w:fill="auto"/>
          </w:tcPr>
          <w:p w14:paraId="7BC75188" w14:textId="77777777" w:rsidR="00D64491" w:rsidRDefault="00D64491"/>
        </w:tc>
        <w:tc>
          <w:tcPr>
            <w:tcW w:w="1254" w:type="dxa"/>
            <w:shd w:val="clear" w:color="auto" w:fill="auto"/>
          </w:tcPr>
          <w:p w14:paraId="288FC565" w14:textId="77777777" w:rsidR="00D64491" w:rsidRDefault="00D64491"/>
        </w:tc>
      </w:tr>
      <w:tr w:rsidR="00F84B1A" w:rsidRPr="00001753" w14:paraId="120F2343" w14:textId="77777777" w:rsidTr="00566218">
        <w:tc>
          <w:tcPr>
            <w:tcW w:w="1389" w:type="dxa"/>
            <w:shd w:val="clear" w:color="auto" w:fill="auto"/>
          </w:tcPr>
          <w:p w14:paraId="10D610CF" w14:textId="77777777" w:rsidR="00D64491" w:rsidRDefault="00DA5D64">
            <w:pPr>
              <w:spacing w:before="120" w:after="120"/>
              <w:jc w:val="both"/>
            </w:pPr>
            <w:r>
              <w:t>b</w:t>
            </w:r>
          </w:p>
        </w:tc>
        <w:tc>
          <w:tcPr>
            <w:tcW w:w="1553" w:type="dxa"/>
            <w:shd w:val="clear" w:color="auto" w:fill="auto"/>
          </w:tcPr>
          <w:p w14:paraId="7F4F9BB4" w14:textId="77777777" w:rsidR="00D64491" w:rsidRDefault="00DA5D64">
            <w:pPr>
              <w:spacing w:before="120" w:after="120"/>
              <w:jc w:val="both"/>
            </w:pPr>
            <w:r>
              <w:rPr>
                <w:sz w:val="26"/>
              </w:rPr>
              <w:t>- Hệ thống thoát nước đảm bảo vệ sinh môi trường;</w:t>
            </w:r>
          </w:p>
          <w:p w14:paraId="2C1545AC" w14:textId="77777777" w:rsidR="00D64491" w:rsidRDefault="00DA5D64">
            <w:pPr>
              <w:spacing w:before="120" w:after="120"/>
              <w:jc w:val="both"/>
            </w:pPr>
            <w:r>
              <w:rPr>
                <w:sz w:val="26"/>
              </w:rPr>
              <w:t> - Hệ thống cấp nước sạch đảm bảo nước uống và nước sinh hoạt cho giáo viên, nhân viên và học sinh.</w:t>
            </w:r>
          </w:p>
        </w:tc>
        <w:tc>
          <w:tcPr>
            <w:tcW w:w="2580" w:type="dxa"/>
            <w:shd w:val="clear" w:color="auto" w:fill="auto"/>
          </w:tcPr>
          <w:p w14:paraId="471EA5EF" w14:textId="77777777" w:rsidR="00D64491" w:rsidRDefault="00D64491"/>
        </w:tc>
        <w:tc>
          <w:tcPr>
            <w:tcW w:w="1173" w:type="dxa"/>
            <w:shd w:val="clear" w:color="auto" w:fill="auto"/>
          </w:tcPr>
          <w:p w14:paraId="7DD0A27A" w14:textId="77777777" w:rsidR="00D64491" w:rsidRDefault="00DA5D64">
            <w:pPr>
              <w:spacing w:before="120" w:after="120"/>
              <w:jc w:val="both"/>
            </w:pPr>
            <w:r>
              <w:rPr>
                <w:sz w:val="26"/>
              </w:rPr>
              <w:t>- Sổ quản lý tài sản, thiết bị giáo dục;</w:t>
            </w:r>
          </w:p>
          <w:p w14:paraId="47F62EA9" w14:textId="77777777" w:rsidR="00D64491" w:rsidRDefault="00DA5D64">
            <w:pPr>
              <w:spacing w:before="120" w:after="120"/>
              <w:jc w:val="both"/>
            </w:pPr>
            <w:r>
              <w:rPr>
                <w:sz w:val="26"/>
              </w:rPr>
              <w:t>- Biên bản kiểm tra tài sản;</w:t>
            </w:r>
          </w:p>
          <w:p w14:paraId="4A68EB7A" w14:textId="77777777" w:rsidR="00D64491" w:rsidRDefault="00DA5D64">
            <w:pPr>
              <w:spacing w:before="120" w:after="120"/>
              <w:jc w:val="both"/>
            </w:pPr>
            <w:r>
              <w:rPr>
                <w:sz w:val="26"/>
              </w:rPr>
              <w:t>- Biên bản kiểm tra của cơ quan y tế về nước sạch;</w:t>
            </w:r>
          </w:p>
          <w:p w14:paraId="361E783E" w14:textId="77777777" w:rsidR="00D64491" w:rsidRDefault="00DA5D64">
            <w:pPr>
              <w:spacing w:before="120" w:after="120"/>
              <w:jc w:val="both"/>
            </w:pPr>
            <w:r>
              <w:rPr>
                <w:sz w:val="26"/>
              </w:rPr>
              <w:t xml:space="preserve">- Báo cáo sơ </w:t>
            </w:r>
            <w:r>
              <w:rPr>
                <w:sz w:val="26"/>
              </w:rPr>
              <w:lastRenderedPageBreak/>
              <w:t>kết, tổng kết;</w:t>
            </w:r>
          </w:p>
          <w:p w14:paraId="49F7C2F5" w14:textId="77777777" w:rsidR="00D64491" w:rsidRDefault="00DA5D64">
            <w:pPr>
              <w:spacing w:before="120" w:after="120"/>
              <w:jc w:val="both"/>
            </w:pPr>
            <w:r>
              <w:rPr>
                <w:sz w:val="26"/>
              </w:rPr>
              <w:t>- Các hình ảnh liên quan (nếu có).</w:t>
            </w:r>
          </w:p>
        </w:tc>
        <w:tc>
          <w:tcPr>
            <w:tcW w:w="1265" w:type="dxa"/>
            <w:shd w:val="clear" w:color="auto" w:fill="auto"/>
          </w:tcPr>
          <w:p w14:paraId="40FF0214" w14:textId="77777777" w:rsidR="00D64491" w:rsidRDefault="00D64491"/>
        </w:tc>
        <w:tc>
          <w:tcPr>
            <w:tcW w:w="1254" w:type="dxa"/>
            <w:shd w:val="clear" w:color="auto" w:fill="auto"/>
          </w:tcPr>
          <w:p w14:paraId="11FF8146" w14:textId="77777777" w:rsidR="00D64491" w:rsidRDefault="00D64491"/>
        </w:tc>
      </w:tr>
      <w:tr w:rsidR="00F84B1A" w:rsidRPr="00001753" w14:paraId="46CC554E" w14:textId="77777777" w:rsidTr="00566218">
        <w:tc>
          <w:tcPr>
            <w:tcW w:w="1389" w:type="dxa"/>
            <w:shd w:val="clear" w:color="auto" w:fill="auto"/>
          </w:tcPr>
          <w:p w14:paraId="69C88A18" w14:textId="77777777" w:rsidR="00D64491" w:rsidRDefault="00DA5D64">
            <w:pPr>
              <w:spacing w:before="120" w:after="120"/>
              <w:jc w:val="both"/>
            </w:pPr>
            <w:r>
              <w:t>c</w:t>
            </w:r>
          </w:p>
        </w:tc>
        <w:tc>
          <w:tcPr>
            <w:tcW w:w="1553" w:type="dxa"/>
            <w:shd w:val="clear" w:color="auto" w:fill="auto"/>
          </w:tcPr>
          <w:p w14:paraId="4D66A2DE" w14:textId="77777777" w:rsidR="00D64491" w:rsidRDefault="00DA5D64">
            <w:pPr>
              <w:spacing w:before="120" w:after="120"/>
              <w:jc w:val="both"/>
            </w:pPr>
            <w:r>
              <w:rPr>
                <w:sz w:val="26"/>
              </w:rPr>
              <w:t>- Thu gom rác và xử lý chất thải đảm bảo vệ sinh môi trường.</w:t>
            </w:r>
          </w:p>
        </w:tc>
        <w:tc>
          <w:tcPr>
            <w:tcW w:w="2580" w:type="dxa"/>
            <w:shd w:val="clear" w:color="auto" w:fill="auto"/>
          </w:tcPr>
          <w:p w14:paraId="75830AEB" w14:textId="77777777" w:rsidR="00D64491" w:rsidRDefault="00D64491"/>
        </w:tc>
        <w:tc>
          <w:tcPr>
            <w:tcW w:w="1173" w:type="dxa"/>
            <w:shd w:val="clear" w:color="auto" w:fill="auto"/>
          </w:tcPr>
          <w:p w14:paraId="3F46C545" w14:textId="77777777" w:rsidR="00D64491" w:rsidRDefault="00DA5D64">
            <w:pPr>
              <w:spacing w:before="120" w:after="120"/>
              <w:jc w:val="both"/>
            </w:pPr>
            <w:r>
              <w:rPr>
                <w:sz w:val="26"/>
              </w:rPr>
              <w:t>- Sổ quản lý tài sản, thiết bị giáo dục;</w:t>
            </w:r>
          </w:p>
          <w:p w14:paraId="190AB120" w14:textId="77777777" w:rsidR="00D64491" w:rsidRDefault="00DA5D64">
            <w:pPr>
              <w:spacing w:before="120" w:after="120"/>
              <w:jc w:val="both"/>
            </w:pPr>
            <w:r>
              <w:rPr>
                <w:sz w:val="26"/>
              </w:rPr>
              <w:t>- Biên bản kiểm tra tài sản;</w:t>
            </w:r>
          </w:p>
          <w:p w14:paraId="4A39CFEC" w14:textId="77777777" w:rsidR="00D64491" w:rsidRDefault="00DA5D64">
            <w:pPr>
              <w:spacing w:before="120" w:after="120"/>
              <w:jc w:val="both"/>
            </w:pPr>
            <w:r>
              <w:rPr>
                <w:sz w:val="26"/>
              </w:rPr>
              <w:t>- Biên bản kiểm tra của cơ quan y tế về nước sạch;</w:t>
            </w:r>
          </w:p>
          <w:p w14:paraId="26EA6C86" w14:textId="77777777" w:rsidR="00D64491" w:rsidRDefault="00DA5D64">
            <w:pPr>
              <w:spacing w:before="120" w:after="120"/>
              <w:jc w:val="both"/>
            </w:pPr>
            <w:r>
              <w:rPr>
                <w:sz w:val="26"/>
              </w:rPr>
              <w:t>- Báo cáo sơ kết, tổng kết;</w:t>
            </w:r>
          </w:p>
          <w:p w14:paraId="0A5217B7" w14:textId="77777777" w:rsidR="00D64491" w:rsidRDefault="00DA5D64">
            <w:pPr>
              <w:spacing w:before="120" w:after="120"/>
              <w:jc w:val="both"/>
            </w:pPr>
            <w:r>
              <w:rPr>
                <w:sz w:val="26"/>
              </w:rPr>
              <w:t>- Các hình ảnh liên quan (nếu có).</w:t>
            </w:r>
          </w:p>
        </w:tc>
        <w:tc>
          <w:tcPr>
            <w:tcW w:w="1265" w:type="dxa"/>
            <w:shd w:val="clear" w:color="auto" w:fill="auto"/>
          </w:tcPr>
          <w:p w14:paraId="0A648274" w14:textId="77777777" w:rsidR="00D64491" w:rsidRDefault="00D64491"/>
        </w:tc>
        <w:tc>
          <w:tcPr>
            <w:tcW w:w="1254" w:type="dxa"/>
            <w:shd w:val="clear" w:color="auto" w:fill="auto"/>
          </w:tcPr>
          <w:p w14:paraId="4CED4DBE" w14:textId="77777777" w:rsidR="00D64491" w:rsidRDefault="00D64491"/>
        </w:tc>
      </w:tr>
      <w:tr w:rsidR="00F84B1A" w:rsidRPr="00001753" w14:paraId="7FEB563F" w14:textId="77777777" w:rsidTr="00566218">
        <w:tc>
          <w:tcPr>
            <w:tcW w:w="1389" w:type="dxa"/>
            <w:shd w:val="clear" w:color="auto" w:fill="auto"/>
          </w:tcPr>
          <w:p w14:paraId="27F15EAA" w14:textId="77777777" w:rsidR="00D64491" w:rsidRDefault="00DA5D64">
            <w:pPr>
              <w:spacing w:before="120" w:after="120"/>
              <w:jc w:val="both"/>
            </w:pPr>
            <w:r>
              <w:t>Mức 2</w:t>
            </w:r>
          </w:p>
        </w:tc>
        <w:tc>
          <w:tcPr>
            <w:tcW w:w="1553" w:type="dxa"/>
            <w:shd w:val="clear" w:color="auto" w:fill="auto"/>
          </w:tcPr>
          <w:p w14:paraId="71C9649D" w14:textId="77777777" w:rsidR="00D64491" w:rsidRDefault="00D64491"/>
        </w:tc>
        <w:tc>
          <w:tcPr>
            <w:tcW w:w="2580" w:type="dxa"/>
            <w:shd w:val="clear" w:color="auto" w:fill="auto"/>
          </w:tcPr>
          <w:p w14:paraId="5625D877" w14:textId="77777777" w:rsidR="00D64491" w:rsidRDefault="00D64491"/>
        </w:tc>
        <w:tc>
          <w:tcPr>
            <w:tcW w:w="1173" w:type="dxa"/>
            <w:shd w:val="clear" w:color="auto" w:fill="auto"/>
          </w:tcPr>
          <w:p w14:paraId="04EE29C5" w14:textId="77777777" w:rsidR="00D64491" w:rsidRDefault="00D64491"/>
        </w:tc>
        <w:tc>
          <w:tcPr>
            <w:tcW w:w="1265" w:type="dxa"/>
            <w:shd w:val="clear" w:color="auto" w:fill="auto"/>
          </w:tcPr>
          <w:p w14:paraId="3FC52A8E" w14:textId="77777777" w:rsidR="00D64491" w:rsidRDefault="00D64491"/>
        </w:tc>
        <w:tc>
          <w:tcPr>
            <w:tcW w:w="1254" w:type="dxa"/>
            <w:shd w:val="clear" w:color="auto" w:fill="auto"/>
          </w:tcPr>
          <w:p w14:paraId="09FE6813" w14:textId="77777777" w:rsidR="00D64491" w:rsidRDefault="00D64491"/>
        </w:tc>
      </w:tr>
      <w:tr w:rsidR="00F84B1A" w:rsidRPr="00001753" w14:paraId="2071BD04" w14:textId="77777777" w:rsidTr="00566218">
        <w:tc>
          <w:tcPr>
            <w:tcW w:w="1389" w:type="dxa"/>
            <w:shd w:val="clear" w:color="auto" w:fill="auto"/>
          </w:tcPr>
          <w:p w14:paraId="0258BBAE" w14:textId="77777777" w:rsidR="00D64491" w:rsidRDefault="00DA5D64">
            <w:pPr>
              <w:spacing w:before="120" w:after="120"/>
              <w:jc w:val="both"/>
            </w:pPr>
            <w:r>
              <w:lastRenderedPageBreak/>
              <w:t>a</w:t>
            </w:r>
          </w:p>
        </w:tc>
        <w:tc>
          <w:tcPr>
            <w:tcW w:w="1553" w:type="dxa"/>
            <w:shd w:val="clear" w:color="auto" w:fill="auto"/>
          </w:tcPr>
          <w:p w14:paraId="2124C161" w14:textId="77777777" w:rsidR="00D64491" w:rsidRDefault="00DA5D64">
            <w:pPr>
              <w:spacing w:before="120" w:after="120"/>
              <w:jc w:val="both"/>
            </w:pPr>
            <w:r>
              <w:rPr>
                <w:sz w:val="26"/>
              </w:rPr>
              <w:t>Khu vệ sinh đảm bảo thuận tiện, được xây dựng phù hợp với cảnh quan và theo quy định.</w:t>
            </w:r>
          </w:p>
        </w:tc>
        <w:tc>
          <w:tcPr>
            <w:tcW w:w="2580" w:type="dxa"/>
            <w:shd w:val="clear" w:color="auto" w:fill="auto"/>
          </w:tcPr>
          <w:p w14:paraId="1A1B5E71" w14:textId="77777777" w:rsidR="00D64491" w:rsidRDefault="00D64491"/>
        </w:tc>
        <w:tc>
          <w:tcPr>
            <w:tcW w:w="1173" w:type="dxa"/>
            <w:shd w:val="clear" w:color="auto" w:fill="auto"/>
          </w:tcPr>
          <w:p w14:paraId="2702C202" w14:textId="77777777" w:rsidR="00D64491" w:rsidRDefault="00DA5D64">
            <w:pPr>
              <w:spacing w:before="120" w:after="120"/>
              <w:jc w:val="both"/>
            </w:pPr>
            <w:r>
              <w:rPr>
                <w:sz w:val="26"/>
              </w:rPr>
              <w:t>- Hồ sơ thiết kế xây dựng của nhà trường;</w:t>
            </w:r>
          </w:p>
          <w:p w14:paraId="2FD99FF8" w14:textId="77777777" w:rsidR="00D64491" w:rsidRDefault="00DA5D64">
            <w:pPr>
              <w:spacing w:before="120" w:after="120"/>
              <w:jc w:val="both"/>
            </w:pPr>
            <w:r>
              <w:rPr>
                <w:sz w:val="26"/>
              </w:rPr>
              <w:t>- Sổ quản lý tài sản, thiết bị giáo dục;</w:t>
            </w:r>
          </w:p>
          <w:p w14:paraId="4ADAAD62" w14:textId="77777777" w:rsidR="00D64491" w:rsidRDefault="00DA5D64">
            <w:pPr>
              <w:spacing w:before="120" w:after="120"/>
              <w:jc w:val="both"/>
            </w:pPr>
            <w:r>
              <w:rPr>
                <w:sz w:val="26"/>
              </w:rPr>
              <w:t>- Biên bản kiểm tra tài sản;</w:t>
            </w:r>
          </w:p>
          <w:p w14:paraId="423A5C99" w14:textId="77777777" w:rsidR="00D64491" w:rsidRDefault="00DA5D64">
            <w:pPr>
              <w:spacing w:before="120" w:after="120"/>
              <w:jc w:val="both"/>
            </w:pPr>
            <w:r>
              <w:rPr>
                <w:sz w:val="26"/>
              </w:rPr>
              <w:t>- Biên bản kiểm tra của cơ quan y tế có nội dung liên quan;</w:t>
            </w:r>
          </w:p>
          <w:p w14:paraId="53FF24CF" w14:textId="77777777" w:rsidR="00D64491" w:rsidRDefault="00DA5D64">
            <w:pPr>
              <w:spacing w:before="120" w:after="120"/>
              <w:jc w:val="both"/>
            </w:pPr>
            <w:r>
              <w:rPr>
                <w:sz w:val="26"/>
              </w:rPr>
              <w:t>- Hợp đồng thu gom và vận chuyển rác; hoặc có lò đốt rác đối với các trường ở nông thôn;</w:t>
            </w:r>
          </w:p>
          <w:p w14:paraId="7E34011F" w14:textId="77777777" w:rsidR="00D64491" w:rsidRDefault="00DA5D64">
            <w:pPr>
              <w:spacing w:before="120" w:after="120"/>
              <w:jc w:val="both"/>
            </w:pPr>
            <w:r>
              <w:rPr>
                <w:sz w:val="26"/>
              </w:rPr>
              <w:lastRenderedPageBreak/>
              <w:t>- Hợp đồng cung cấp nước sạch; hoặc minh chứng về nguồn nước sạch đối với các trường ở nông thôn;</w:t>
            </w:r>
          </w:p>
          <w:p w14:paraId="2C1BFFFE" w14:textId="77777777" w:rsidR="00D64491" w:rsidRDefault="00DA5D64">
            <w:pPr>
              <w:spacing w:before="120" w:after="120"/>
              <w:jc w:val="both"/>
            </w:pPr>
            <w:r>
              <w:rPr>
                <w:sz w:val="26"/>
              </w:rPr>
              <w:t>- Hoá đơn thu tiền nước hằng tháng.</w:t>
            </w:r>
          </w:p>
        </w:tc>
        <w:tc>
          <w:tcPr>
            <w:tcW w:w="1265" w:type="dxa"/>
            <w:shd w:val="clear" w:color="auto" w:fill="auto"/>
          </w:tcPr>
          <w:p w14:paraId="49388552" w14:textId="77777777" w:rsidR="00D64491" w:rsidRDefault="00D64491"/>
        </w:tc>
        <w:tc>
          <w:tcPr>
            <w:tcW w:w="1254" w:type="dxa"/>
            <w:shd w:val="clear" w:color="auto" w:fill="auto"/>
          </w:tcPr>
          <w:p w14:paraId="185F70A9" w14:textId="77777777" w:rsidR="00D64491" w:rsidRDefault="00D64491"/>
        </w:tc>
      </w:tr>
      <w:tr w:rsidR="00F84B1A" w:rsidRPr="00001753" w14:paraId="0D6FD39E" w14:textId="77777777" w:rsidTr="00566218">
        <w:tc>
          <w:tcPr>
            <w:tcW w:w="1389" w:type="dxa"/>
            <w:shd w:val="clear" w:color="auto" w:fill="auto"/>
          </w:tcPr>
          <w:p w14:paraId="466D1014" w14:textId="77777777" w:rsidR="00D64491" w:rsidRDefault="00DA5D64">
            <w:pPr>
              <w:spacing w:before="120" w:after="120"/>
              <w:jc w:val="both"/>
            </w:pPr>
            <w:r>
              <w:t>b</w:t>
            </w:r>
          </w:p>
        </w:tc>
        <w:tc>
          <w:tcPr>
            <w:tcW w:w="1553" w:type="dxa"/>
            <w:shd w:val="clear" w:color="auto" w:fill="auto"/>
          </w:tcPr>
          <w:p w14:paraId="610EAFFF" w14:textId="77777777" w:rsidR="00D64491" w:rsidRDefault="00DA5D64">
            <w:pPr>
              <w:spacing w:before="120" w:after="120"/>
              <w:jc w:val="both"/>
            </w:pPr>
            <w:r>
              <w:rPr>
                <w:sz w:val="26"/>
              </w:rPr>
              <w:t>* Đối với các trường tự đánh giá tính từ tháng 7 năm 2016 đến thời điểm hiện tại:</w:t>
            </w:r>
          </w:p>
          <w:p w14:paraId="0B82B696" w14:textId="77777777" w:rsidR="00D64491" w:rsidRDefault="00DA5D64">
            <w:pPr>
              <w:spacing w:before="120" w:after="120"/>
              <w:jc w:val="both"/>
            </w:pPr>
            <w:r>
              <w:rPr>
                <w:sz w:val="26"/>
              </w:rPr>
              <w:t xml:space="preserve">- Hệ thống cung cấp nước sạch đáp ứng quy định tại khoản 1 và 3 Điều 5 Thông tư liên tịch số 13/2016/TTLT-BGDĐT-BYT ngày 15/5/2016 của Bộ GDĐT </w:t>
            </w:r>
            <w:r>
              <w:rPr>
                <w:sz w:val="26"/>
              </w:rPr>
              <w:lastRenderedPageBreak/>
              <w:t>và Bộ Y tế Quy định về công tác y tế trường học, cụ thể:</w:t>
            </w:r>
          </w:p>
          <w:p w14:paraId="30A35004" w14:textId="77777777" w:rsidR="00D64491" w:rsidRDefault="00DA5D64">
            <w:pPr>
              <w:spacing w:before="120" w:after="120"/>
              <w:jc w:val="both"/>
            </w:pPr>
            <w:r>
              <w:rPr>
                <w:sz w:val="26"/>
              </w:rPr>
              <w:t xml:space="preserve">Sử dụng nguồn nước từ các cơ sở đủ điều kiện cung cấp nước ăn uống và nước sinh hoạt. Trường hợp trường học tự cung cấp nguồn nước thì chất lượng phải bảo đảm tiêu chuẩn về nước ăn uống theo Quy chuẩn kỹ thuật quốc gia (QCVN 01:2009/BYT) ban hành kèm theo Thông tư số 04/2009/TT-BYT ngày 17 tháng 6 năm 2009 của Bộ trưởng Bộ Y tế ban hành quy chuẩn kỹ thuật quốc gia về chất lượng nước ăn uống; về nước khoáng thiên nhiên và nước uống đóng chai theo Quy chuẩn kỹ </w:t>
            </w:r>
            <w:r>
              <w:rPr>
                <w:sz w:val="26"/>
              </w:rPr>
              <w:lastRenderedPageBreak/>
              <w:t>thuật quốc gia (QCVN 6 -1:2010/BYT) ban hành kèm theo Thông tư số 34/2010/TT-BYT ngày 02 tháng 6 năm 2010 của Bộ trưởng Bộ Y tế ban hành quy chuẩn kỹ thuật quốc gia đối với nước khoáng thiên nhiên và nước uống đóng chai; về nước sinh hoạt theo Quy chuẩn kỹ thuật quốc gia (QCVN 02:2009/BYT) ban hành kèm theo Thông tư số 05/2009/TT-BYT ngày 17 tháng 6 năm 2009 của Bộ trưởng Bộ Y tế ban hành quy chuẩn kỹ thuật quốc gia về chất lượng nước sinh hoạt;</w:t>
            </w:r>
          </w:p>
          <w:p w14:paraId="044173C9" w14:textId="77777777" w:rsidR="00D64491" w:rsidRDefault="00DA5D64">
            <w:pPr>
              <w:spacing w:before="120" w:after="120"/>
              <w:jc w:val="both"/>
            </w:pPr>
            <w:r>
              <w:rPr>
                <w:sz w:val="26"/>
              </w:rPr>
              <w:t xml:space="preserve">- Hệ thống thoát nước, thu gom và xử lý chất thải đáp ứng quy định </w:t>
            </w:r>
            <w:r>
              <w:rPr>
                <w:sz w:val="26"/>
              </w:rPr>
              <w:lastRenderedPageBreak/>
              <w:t>tại khoản 3 Điều 5 Thông tư liên tịch số 13/2016/TTLT-BGDĐT-BYT ngày 15/5/2016 của Bộ GDĐT và Bộ Y tế Quy định về công tác y tế trường học, cụ thể:</w:t>
            </w:r>
          </w:p>
          <w:p w14:paraId="5E03A0B0" w14:textId="77777777" w:rsidR="00D64491" w:rsidRDefault="00DA5D64">
            <w:pPr>
              <w:spacing w:before="120" w:after="120"/>
              <w:jc w:val="both"/>
            </w:pPr>
            <w:r>
              <w:rPr>
                <w:sz w:val="26"/>
              </w:rPr>
              <w:t>+ Trường học phải có hệ thống cống rãnh thoát nước mưa, nước thải sinh hoạt, không để nước ứ đọng xung quanh trường lớp; có hệ thống thoát nước riêng cho khu vực nhà bếp, khu vệ sinh;</w:t>
            </w:r>
          </w:p>
          <w:p w14:paraId="4C386265" w14:textId="77777777" w:rsidR="00D64491" w:rsidRDefault="00DA5D64">
            <w:pPr>
              <w:spacing w:before="120" w:after="120"/>
              <w:jc w:val="both"/>
            </w:pPr>
            <w:r>
              <w:rPr>
                <w:sz w:val="26"/>
              </w:rPr>
              <w:t>+ Các trường học hợp đồng với các cơ sở đủ điều kiện thu gom, xử lý chất thải, rác thải sinh hoạt; </w:t>
            </w:r>
          </w:p>
          <w:p w14:paraId="2A238A18" w14:textId="77777777" w:rsidR="00D64491" w:rsidRDefault="00DA5D64">
            <w:pPr>
              <w:spacing w:before="120" w:after="120"/>
              <w:jc w:val="both"/>
            </w:pPr>
            <w:r>
              <w:rPr>
                <w:sz w:val="26"/>
              </w:rPr>
              <w:t xml:space="preserve">+ Trường hợp trường học tự thu gom, xử lý thì phải bảo đảm theo quy định tại khoản </w:t>
            </w:r>
            <w:r>
              <w:rPr>
                <w:sz w:val="26"/>
              </w:rPr>
              <w:lastRenderedPageBreak/>
              <w:t>4, mục VII, phần II của Quy chuẩn kỹ thuật quốc gia (QCVN 07:2010/BYT) vệ sinh phòng bệnh truyền nhiễm trong các cơ sở giáo dục thuộc hệ thống giáo dục quốc dân ban hành kèm theo Thông tư số 46/2010/TT-BYT ngày 29 tháng 12 năm 2010 của Bộ trưởng Bộ Y tế ban hành “Quy chuẩn kỹ thuật quốc gia về vệ sinh phòng bệnh truyền nhiễm trong các cơ sở giáo dục thuộc hệ thống giáo dục quốc dân” (sau đây gọi tắt là Thông tư số 46/2010/TT-BYT), cụ thể:</w:t>
            </w:r>
          </w:p>
          <w:p w14:paraId="3075868C" w14:textId="77777777" w:rsidR="00D64491" w:rsidRDefault="00DA5D64">
            <w:pPr>
              <w:spacing w:before="120" w:after="120"/>
              <w:jc w:val="both"/>
            </w:pPr>
            <w:r>
              <w:rPr>
                <w:sz w:val="26"/>
              </w:rPr>
              <w:t xml:space="preserve">Có thùng đựng và phân loại rác thải. Có hệ thống thu gom </w:t>
            </w:r>
            <w:r>
              <w:rPr>
                <w:sz w:val="26"/>
              </w:rPr>
              <w:lastRenderedPageBreak/>
              <w:t>và xử lý rác thải của phòng y tế; </w:t>
            </w:r>
          </w:p>
          <w:p w14:paraId="27B77BCF" w14:textId="77777777" w:rsidR="00D64491" w:rsidRDefault="00DA5D64">
            <w:pPr>
              <w:spacing w:before="120" w:after="120"/>
              <w:jc w:val="both"/>
            </w:pPr>
            <w:r>
              <w:rPr>
                <w:sz w:val="26"/>
              </w:rPr>
              <w:t>Bố trí đủ các phương tiện, dụng cụ có nắp đậy để phân loại, chứa đựng rác tạm thời trong cơ sở giáo dục; các phương tiện, dụng cụ này phải thuận tiện cho việc làm vệ sinh và khử trùng;</w:t>
            </w:r>
          </w:p>
          <w:p w14:paraId="45156A99" w14:textId="77777777" w:rsidR="00D64491" w:rsidRDefault="00DA5D64">
            <w:pPr>
              <w:spacing w:before="120" w:after="120"/>
              <w:jc w:val="both"/>
            </w:pPr>
            <w:r>
              <w:rPr>
                <w:sz w:val="26"/>
              </w:rPr>
              <w:t>Khu tập trung rác thải phải được bố trí cách biệt với các khu vực khác và có lối ra vào riêng. Khoảng cách không dưới 25m với khu nhà chính và nằm ở cuối chiều gió;</w:t>
            </w:r>
          </w:p>
          <w:p w14:paraId="61A74479" w14:textId="77777777" w:rsidR="00D64491" w:rsidRDefault="00DA5D64">
            <w:pPr>
              <w:spacing w:before="120" w:after="120"/>
              <w:jc w:val="both"/>
            </w:pPr>
            <w:r>
              <w:rPr>
                <w:sz w:val="26"/>
              </w:rPr>
              <w:t>Có quy định về việc phân loại, thu gom, vận chuyển và xử lý rác trong cơ sở giáo dục; </w:t>
            </w:r>
          </w:p>
          <w:p w14:paraId="68FACE71" w14:textId="77777777" w:rsidR="00D64491" w:rsidRDefault="00DA5D64">
            <w:pPr>
              <w:spacing w:before="120" w:after="120"/>
              <w:jc w:val="both"/>
            </w:pPr>
            <w:r>
              <w:rPr>
                <w:sz w:val="26"/>
              </w:rPr>
              <w:t xml:space="preserve">Yêu cầu vệ sinh về thu gom, xử lý rác thải: Phải được thu gom </w:t>
            </w:r>
            <w:r>
              <w:rPr>
                <w:sz w:val="26"/>
              </w:rPr>
              <w:lastRenderedPageBreak/>
              <w:t>hằng ngày và xử lý bằng cách đốt, chôn lấp hợp vệ sinh hoặc được vận chuyển tới nơi xử lý tập trung. Không để rác thải, nước thải tồn đọng trong khu vực trường gây ô nhiễm môi trường.</w:t>
            </w:r>
          </w:p>
          <w:p w14:paraId="78CEA1E2" w14:textId="77777777" w:rsidR="00D64491" w:rsidRDefault="00DA5D64">
            <w:pPr>
              <w:spacing w:before="120" w:after="120"/>
              <w:jc w:val="both"/>
            </w:pPr>
            <w:r>
              <w:rPr>
                <w:sz w:val="26"/>
              </w:rPr>
              <w:t>* Đối với các trường tự đánh giá trước tháng 7 năm 2016: Đảm bảo theo quy định tại khoản 3 và 4 Điều 9, khoản 4 Điều 14 Thông tư liên tịch số 22/2013/TTLT-BGDĐT-BYT ngày 18/6/2013 quy định đánh giá công tác y tế tại các cơ sở giáo dục ....., cụ thể:</w:t>
            </w:r>
          </w:p>
          <w:p w14:paraId="2A255D54" w14:textId="77777777" w:rsidR="00D64491" w:rsidRDefault="00DA5D64">
            <w:pPr>
              <w:spacing w:before="120" w:after="120"/>
              <w:jc w:val="both"/>
            </w:pPr>
            <w:r>
              <w:rPr>
                <w:sz w:val="26"/>
              </w:rPr>
              <w:t xml:space="preserve">- Hệ thống cống, rãnh để dẫn thoát nước mưa, nước thải bảo đảm kín không rò rỉ, ứ đọng gây ô </w:t>
            </w:r>
            <w:r>
              <w:rPr>
                <w:sz w:val="26"/>
              </w:rPr>
              <w:lastRenderedPageBreak/>
              <w:t>nhiễm môi trường;</w:t>
            </w:r>
          </w:p>
          <w:p w14:paraId="767A2DAA" w14:textId="77777777" w:rsidR="00D64491" w:rsidRDefault="00DA5D64">
            <w:pPr>
              <w:spacing w:before="120" w:after="120"/>
              <w:jc w:val="both"/>
            </w:pPr>
            <w:r>
              <w:rPr>
                <w:sz w:val="26"/>
              </w:rPr>
              <w:t>- Bảo đảm đủ số lượng, chất lượng nước uống và nước sinh hoạt cho trẻ em, cán bộ, giáo viên, nhân viên trong nhà trường;</w:t>
            </w:r>
          </w:p>
          <w:p w14:paraId="4836BDE8" w14:textId="77777777" w:rsidR="00D64491" w:rsidRDefault="00DA5D64">
            <w:pPr>
              <w:spacing w:before="120" w:after="120"/>
              <w:jc w:val="both"/>
            </w:pPr>
            <w:r>
              <w:rPr>
                <w:sz w:val="26"/>
              </w:rPr>
              <w:t>- Có hệ thống thu gom và xử lý chất thải theo quy định:</w:t>
            </w:r>
          </w:p>
          <w:p w14:paraId="77203D87" w14:textId="77777777" w:rsidR="00D64491" w:rsidRDefault="00DA5D64">
            <w:pPr>
              <w:spacing w:before="120" w:after="120"/>
              <w:jc w:val="both"/>
            </w:pPr>
            <w:r>
              <w:rPr>
                <w:sz w:val="26"/>
              </w:rPr>
              <w:t>+ Có thùng đựng và phân loại rác thải. Có hệ thống thu gom và xử lý rác thải của phòng y tế; bố trí đủ các phương tiện, dụng cụ có nắp đậy để phân loại, chứa đựng rác tạm thời trong cơ sở giáo dục; các phương tiện, dụng cụ này phải thuận tiện cho việc làm vệ sinh và khử trùng;</w:t>
            </w:r>
          </w:p>
          <w:p w14:paraId="2AE5527D" w14:textId="77777777" w:rsidR="00D64491" w:rsidRDefault="00DA5D64">
            <w:pPr>
              <w:spacing w:before="120" w:after="120"/>
              <w:jc w:val="both"/>
            </w:pPr>
            <w:r>
              <w:rPr>
                <w:sz w:val="26"/>
              </w:rPr>
              <w:t xml:space="preserve">+ Có quy định về việc phân </w:t>
            </w:r>
            <w:r>
              <w:rPr>
                <w:sz w:val="26"/>
              </w:rPr>
              <w:lastRenderedPageBreak/>
              <w:t>loại, thu gom, vận chuyển và xử lý rác trong nhà trường; </w:t>
            </w:r>
          </w:p>
          <w:p w14:paraId="3A9A555C" w14:textId="77777777" w:rsidR="00D64491" w:rsidRDefault="00DA5D64">
            <w:pPr>
              <w:spacing w:before="120" w:after="120"/>
              <w:jc w:val="both"/>
            </w:pPr>
            <w:r>
              <w:rPr>
                <w:sz w:val="26"/>
              </w:rPr>
              <w:t>+ Yêu cầu vệ sinh về thu gom, xử lý rác thải: Phải được thu gom hằng ngày và xử lý bằng cách đốt, chôn lấp hợp vệ sinh hoặc được vận chuyển tới nơi xử lý tập trung. Không để rác thải, nước thải tồn đọng trong khu vực trường gây ô nhiễm môi trường.</w:t>
            </w:r>
          </w:p>
        </w:tc>
        <w:tc>
          <w:tcPr>
            <w:tcW w:w="2580" w:type="dxa"/>
            <w:shd w:val="clear" w:color="auto" w:fill="auto"/>
          </w:tcPr>
          <w:p w14:paraId="4DC97CFE" w14:textId="77777777" w:rsidR="00D64491" w:rsidRDefault="00D64491"/>
        </w:tc>
        <w:tc>
          <w:tcPr>
            <w:tcW w:w="1173" w:type="dxa"/>
            <w:shd w:val="clear" w:color="auto" w:fill="auto"/>
          </w:tcPr>
          <w:p w14:paraId="45CCFC8E" w14:textId="77777777" w:rsidR="00D64491" w:rsidRDefault="00DA5D64">
            <w:pPr>
              <w:spacing w:before="120" w:after="120"/>
              <w:jc w:val="both"/>
            </w:pPr>
            <w:r>
              <w:rPr>
                <w:sz w:val="26"/>
              </w:rPr>
              <w:t>- Hồ sơ thiết kế xây dựng của nhà trường;</w:t>
            </w:r>
          </w:p>
          <w:p w14:paraId="6401BD15" w14:textId="77777777" w:rsidR="00D64491" w:rsidRDefault="00DA5D64">
            <w:pPr>
              <w:spacing w:before="120" w:after="120"/>
              <w:jc w:val="both"/>
            </w:pPr>
            <w:r>
              <w:rPr>
                <w:sz w:val="26"/>
              </w:rPr>
              <w:t>- Sổ quản lý tài sản, thiết bị giáo dục;</w:t>
            </w:r>
          </w:p>
          <w:p w14:paraId="31BFC53E" w14:textId="77777777" w:rsidR="00D64491" w:rsidRDefault="00DA5D64">
            <w:pPr>
              <w:spacing w:before="120" w:after="120"/>
              <w:jc w:val="both"/>
            </w:pPr>
            <w:r>
              <w:rPr>
                <w:sz w:val="26"/>
              </w:rPr>
              <w:t>- Biên bản kiểm tra tài sản;</w:t>
            </w:r>
          </w:p>
          <w:p w14:paraId="24FEA39B" w14:textId="77777777" w:rsidR="00D64491" w:rsidRDefault="00DA5D64">
            <w:pPr>
              <w:spacing w:before="120" w:after="120"/>
              <w:jc w:val="both"/>
            </w:pPr>
            <w:r>
              <w:rPr>
                <w:sz w:val="26"/>
              </w:rPr>
              <w:lastRenderedPageBreak/>
              <w:t>- Biên bản kiểm tra của cơ quan y tế có nội dung liên quan;</w:t>
            </w:r>
          </w:p>
          <w:p w14:paraId="57D7411B" w14:textId="77777777" w:rsidR="00D64491" w:rsidRDefault="00DA5D64">
            <w:pPr>
              <w:spacing w:before="120" w:after="120"/>
              <w:jc w:val="both"/>
            </w:pPr>
            <w:r>
              <w:rPr>
                <w:sz w:val="26"/>
              </w:rPr>
              <w:t>- Hợp đồng thu gom và vận chuyển rác; hoặc có lò đốt rác đối với các trường ở nông thôn;</w:t>
            </w:r>
          </w:p>
          <w:p w14:paraId="77E993CE" w14:textId="77777777" w:rsidR="00D64491" w:rsidRDefault="00DA5D64">
            <w:pPr>
              <w:spacing w:before="120" w:after="120"/>
              <w:jc w:val="both"/>
            </w:pPr>
            <w:r>
              <w:rPr>
                <w:sz w:val="26"/>
              </w:rPr>
              <w:t>- Hợp đồng cung cấp nước sạch; hoặc minh chứng về nguồn nước sạch đối với các trường ở nông thôn;</w:t>
            </w:r>
          </w:p>
          <w:p w14:paraId="56D82E5C" w14:textId="77777777" w:rsidR="00D64491" w:rsidRDefault="00DA5D64">
            <w:pPr>
              <w:spacing w:before="120" w:after="120"/>
              <w:jc w:val="both"/>
            </w:pPr>
            <w:r>
              <w:rPr>
                <w:sz w:val="26"/>
              </w:rPr>
              <w:t xml:space="preserve">- Hoá đơn thu </w:t>
            </w:r>
            <w:r>
              <w:rPr>
                <w:sz w:val="26"/>
              </w:rPr>
              <w:lastRenderedPageBreak/>
              <w:t>tiền nước hằng tháng.</w:t>
            </w:r>
          </w:p>
        </w:tc>
        <w:tc>
          <w:tcPr>
            <w:tcW w:w="1265" w:type="dxa"/>
            <w:shd w:val="clear" w:color="auto" w:fill="auto"/>
          </w:tcPr>
          <w:p w14:paraId="3E77683F" w14:textId="77777777" w:rsidR="00D64491" w:rsidRDefault="00D64491"/>
        </w:tc>
        <w:tc>
          <w:tcPr>
            <w:tcW w:w="1254" w:type="dxa"/>
            <w:shd w:val="clear" w:color="auto" w:fill="auto"/>
          </w:tcPr>
          <w:p w14:paraId="05E71726" w14:textId="77777777" w:rsidR="00D64491" w:rsidRDefault="00D64491"/>
        </w:tc>
      </w:tr>
    </w:tbl>
    <w:p w14:paraId="1615FA77" w14:textId="0757DF03" w:rsidR="00936290" w:rsidRDefault="00936290"/>
    <w:tbl>
      <w:tblPr>
        <w:tblW w:w="11251" w:type="dxa"/>
        <w:tblInd w:w="-856" w:type="dxa"/>
        <w:tblLook w:val="01E0" w:firstRow="1" w:lastRow="1" w:firstColumn="1" w:lastColumn="1" w:noHBand="0" w:noVBand="0"/>
      </w:tblPr>
      <w:tblGrid>
        <w:gridCol w:w="4821"/>
        <w:gridCol w:w="6430"/>
      </w:tblGrid>
      <w:tr w:rsidR="008D5E32" w14:paraId="219EF1A0" w14:textId="77777777" w:rsidTr="008D5E32">
        <w:trPr>
          <w:cantSplit/>
          <w:trHeight w:val="80"/>
        </w:trPr>
        <w:tc>
          <w:tcPr>
            <w:tcW w:w="3936" w:type="dxa"/>
          </w:tcPr>
          <w:p w14:paraId="47644201" w14:textId="77777777" w:rsidR="008D5E32" w:rsidRDefault="008D5E32">
            <w:pPr>
              <w:spacing w:before="120" w:after="120" w:line="276" w:lineRule="auto"/>
              <w:jc w:val="center"/>
              <w:rPr>
                <w:rFonts w:eastAsia="MS Mincho"/>
                <w:b/>
                <w:szCs w:val="28"/>
                <w:lang w:val="nb-NO"/>
              </w:rPr>
            </w:pPr>
            <w:r>
              <w:rPr>
                <w:rFonts w:eastAsia="MS Mincho"/>
                <w:b/>
                <w:szCs w:val="28"/>
                <w:lang w:val="nb-NO"/>
              </w:rPr>
              <w:t>Xác nhận</w:t>
            </w:r>
            <w:r>
              <w:rPr>
                <w:rFonts w:eastAsia="MS Mincho"/>
                <w:b/>
                <w:szCs w:val="28"/>
                <w:lang w:val="nb-NO"/>
              </w:rPr>
              <w:br/>
              <w:t>của trưởng nhóm công tác</w:t>
            </w:r>
          </w:p>
          <w:p w14:paraId="6C44F794" w14:textId="77777777" w:rsidR="008D5E32" w:rsidRDefault="008D5E32">
            <w:pPr>
              <w:spacing w:before="120" w:after="120" w:line="276" w:lineRule="auto"/>
              <w:jc w:val="center"/>
              <w:rPr>
                <w:rFonts w:eastAsia="MS Mincho"/>
                <w:b/>
                <w:szCs w:val="28"/>
                <w:lang w:val="nb-NO"/>
              </w:rPr>
            </w:pPr>
          </w:p>
        </w:tc>
        <w:tc>
          <w:tcPr>
            <w:tcW w:w="5249" w:type="dxa"/>
          </w:tcPr>
          <w:p w14:paraId="2CDAD317" w14:textId="77777777" w:rsidR="008D5E32" w:rsidRDefault="008D5E32">
            <w:pPr>
              <w:spacing w:before="120" w:after="120" w:line="276" w:lineRule="auto"/>
              <w:jc w:val="center"/>
              <w:rPr>
                <w:rFonts w:eastAsia="MS Mincho"/>
                <w:i/>
                <w:szCs w:val="28"/>
                <w:lang w:val="nb-NO"/>
              </w:rPr>
            </w:pPr>
            <w:r>
              <w:rPr>
                <w:rFonts w:eastAsia="MS Mincho"/>
                <w:i/>
                <w:szCs w:val="28"/>
                <w:lang w:val="nb-NO"/>
              </w:rPr>
              <w:t xml:space="preserve"> Kiên Giang, ngày 05 tháng 12 năm 2022</w:t>
            </w:r>
          </w:p>
          <w:p w14:paraId="61E0E99A" w14:textId="77777777" w:rsidR="008D5E32" w:rsidRDefault="008D5E32">
            <w:pPr>
              <w:spacing w:before="120" w:after="120" w:line="276" w:lineRule="auto"/>
              <w:jc w:val="center"/>
              <w:rPr>
                <w:rFonts w:eastAsia="MS Mincho"/>
                <w:i/>
                <w:szCs w:val="28"/>
                <w:lang w:val="nb-NO"/>
              </w:rPr>
            </w:pPr>
            <w:r>
              <w:rPr>
                <w:rFonts w:eastAsia="MS Mincho"/>
                <w:b/>
                <w:szCs w:val="28"/>
                <w:lang w:val="nb-NO"/>
              </w:rPr>
              <w:t>Người viết</w:t>
            </w:r>
            <w:r>
              <w:rPr>
                <w:rFonts w:eastAsia="MS Mincho"/>
                <w:b/>
                <w:szCs w:val="28"/>
                <w:lang w:val="nb-NO"/>
              </w:rPr>
              <w:br/>
            </w:r>
            <w:r>
              <w:rPr>
                <w:rFonts w:eastAsia="MS Mincho"/>
                <w:i/>
                <w:szCs w:val="28"/>
                <w:lang w:val="nb-NO"/>
              </w:rPr>
              <w:t>(Ký tên)</w:t>
            </w:r>
          </w:p>
          <w:p w14:paraId="0C6EA765" w14:textId="77777777" w:rsidR="008D5E32" w:rsidRDefault="008D5E32">
            <w:pPr>
              <w:spacing w:before="120" w:after="120" w:line="276" w:lineRule="auto"/>
              <w:jc w:val="center"/>
              <w:rPr>
                <w:rFonts w:eastAsia="MS Mincho"/>
                <w:i/>
                <w:szCs w:val="28"/>
                <w:lang w:val="nb-NO"/>
              </w:rPr>
            </w:pPr>
          </w:p>
          <w:p w14:paraId="0C187721" w14:textId="77777777" w:rsidR="008D5E32" w:rsidRDefault="008D5E32">
            <w:pPr>
              <w:spacing w:before="120" w:after="120" w:line="276" w:lineRule="auto"/>
              <w:jc w:val="center"/>
              <w:rPr>
                <w:rFonts w:eastAsia="MS Mincho"/>
                <w:b/>
                <w:szCs w:val="28"/>
                <w:lang w:val="nb-NO"/>
              </w:rPr>
            </w:pPr>
          </w:p>
        </w:tc>
      </w:tr>
    </w:tbl>
    <w:p w14:paraId="51133268" w14:textId="77777777" w:rsidR="008D5E32" w:rsidRDefault="008D5E32"/>
    <w:sectPr w:rsidR="008D5E32" w:rsidSect="00936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9D"/>
    <w:rsid w:val="00005821"/>
    <w:rsid w:val="003B57E9"/>
    <w:rsid w:val="0044627A"/>
    <w:rsid w:val="004F30E5"/>
    <w:rsid w:val="00566218"/>
    <w:rsid w:val="005C0835"/>
    <w:rsid w:val="005C7B4F"/>
    <w:rsid w:val="00651FAF"/>
    <w:rsid w:val="007C5881"/>
    <w:rsid w:val="00812FEF"/>
    <w:rsid w:val="00884BC7"/>
    <w:rsid w:val="008D5E32"/>
    <w:rsid w:val="00936290"/>
    <w:rsid w:val="009B428C"/>
    <w:rsid w:val="009B505F"/>
    <w:rsid w:val="009F49C7"/>
    <w:rsid w:val="00A20F9D"/>
    <w:rsid w:val="00A910D5"/>
    <w:rsid w:val="00B1622C"/>
    <w:rsid w:val="00BF3E9C"/>
    <w:rsid w:val="00D64491"/>
    <w:rsid w:val="00D70C85"/>
    <w:rsid w:val="00DA5D64"/>
    <w:rsid w:val="00F74296"/>
    <w:rsid w:val="00F8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51153"/>
  <w15:docId w15:val="{BF0D3DF2-4EFE-F147-9B90-F9E870F5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F9D"/>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qFormat/>
    <w:rsid w:val="00B1622C"/>
    <w:pPr>
      <w:tabs>
        <w:tab w:val="num" w:pos="980"/>
      </w:tabs>
      <w:spacing w:before="120" w:after="120"/>
      <w:ind w:firstLine="981"/>
      <w:jc w:val="both"/>
    </w:pPr>
    <w:rPr>
      <w:rFonts w:eastAsiaTheme="minorHAnsi"/>
      <w:spacing w:val="-4"/>
      <w:szCs w:val="2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3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Thanh Phong</cp:lastModifiedBy>
  <cp:revision>13</cp:revision>
  <dcterms:created xsi:type="dcterms:W3CDTF">2020-11-06T03:08:00Z</dcterms:created>
  <dcterms:modified xsi:type="dcterms:W3CDTF">2022-12-05T21:41:00Z</dcterms:modified>
</cp:coreProperties>
</file>