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244"/>
      </w:tblGrid>
      <w:tr w:rsidR="00866D72" w:rsidRPr="00EF3BFB" w14:paraId="2B1ADD9B" w14:textId="77777777" w:rsidTr="00D725F2">
        <w:tc>
          <w:tcPr>
            <w:tcW w:w="5388" w:type="dxa"/>
          </w:tcPr>
          <w:p w14:paraId="3C07EB15" w14:textId="77777777" w:rsidR="00866D72" w:rsidRPr="00EF3BFB" w:rsidRDefault="00866D72" w:rsidP="00F31B26">
            <w:pPr>
              <w:jc w:val="center"/>
            </w:pPr>
            <w:r w:rsidRPr="00EF3BFB">
              <w:t>LIÊN ĐOÀN LAO ĐỘNG HUYỆN VĨNH THUẬN</w:t>
            </w:r>
          </w:p>
          <w:p w14:paraId="16D24A64" w14:textId="77777777" w:rsidR="00866D72" w:rsidRPr="00EF3BFB" w:rsidRDefault="00866D72" w:rsidP="00F31B26">
            <w:pPr>
              <w:jc w:val="center"/>
              <w:rPr>
                <w:b/>
                <w:bCs/>
              </w:rPr>
            </w:pPr>
            <w:r w:rsidRPr="00EF3BFB">
              <w:rPr>
                <w:b/>
                <w:bCs/>
                <w:noProof/>
              </w:rPr>
              <mc:AlternateContent>
                <mc:Choice Requires="wps">
                  <w:drawing>
                    <wp:anchor distT="0" distB="0" distL="114300" distR="114300" simplePos="0" relativeHeight="251659264" behindDoc="0" locked="0" layoutInCell="1" allowOverlap="1" wp14:anchorId="3E16C469" wp14:editId="0A79C1AC">
                      <wp:simplePos x="0" y="0"/>
                      <wp:positionH relativeFrom="column">
                        <wp:posOffset>474980</wp:posOffset>
                      </wp:positionH>
                      <wp:positionV relativeFrom="paragraph">
                        <wp:posOffset>191077</wp:posOffset>
                      </wp:positionV>
                      <wp:extent cx="2341418" cy="0"/>
                      <wp:effectExtent l="0" t="0" r="0" b="0"/>
                      <wp:wrapNone/>
                      <wp:docPr id="508887054" name="Straight Connector 1"/>
                      <wp:cNvGraphicFramePr/>
                      <a:graphic xmlns:a="http://schemas.openxmlformats.org/drawingml/2006/main">
                        <a:graphicData uri="http://schemas.microsoft.com/office/word/2010/wordprocessingShape">
                          <wps:wsp>
                            <wps:cNvCnPr/>
                            <wps:spPr>
                              <a:xfrm>
                                <a:off x="0" y="0"/>
                                <a:ext cx="23414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BB7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pt,15.05pt" to="221.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LSmQEAAIgDAAAOAAAAZHJzL2Uyb0RvYy54bWysU8tu2zAQvAfIPxC8x5LcoA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" strokecolor="black [3200]" strokeweight=".5pt">
                      <v:stroke joinstyle="miter"/>
                    </v:line>
                  </w:pict>
                </mc:Fallback>
              </mc:AlternateContent>
            </w:r>
            <w:r w:rsidRPr="00EF3BFB">
              <w:rPr>
                <w:b/>
                <w:bCs/>
              </w:rPr>
              <w:t>CĐCS TRƯỜNG THCS THỊ TRẤN</w:t>
            </w:r>
          </w:p>
        </w:tc>
        <w:tc>
          <w:tcPr>
            <w:tcW w:w="5244" w:type="dxa"/>
          </w:tcPr>
          <w:p w14:paraId="1C7C95ED" w14:textId="77777777" w:rsidR="00866D72" w:rsidRPr="00EF3BFB" w:rsidRDefault="00866D72" w:rsidP="00F31B26">
            <w:pPr>
              <w:jc w:val="center"/>
              <w:rPr>
                <w:b/>
                <w:bCs/>
              </w:rPr>
            </w:pPr>
            <w:r w:rsidRPr="00EF3BFB">
              <w:rPr>
                <w:b/>
                <w:bCs/>
              </w:rPr>
              <w:t>CỘNG HOÀ XÃ HỘI CHỦ NGHĨA VIỆT NAM</w:t>
            </w:r>
          </w:p>
          <w:p w14:paraId="72907664" w14:textId="77777777" w:rsidR="00866D72" w:rsidRPr="00EF3BFB" w:rsidRDefault="00866D72" w:rsidP="00F31B26">
            <w:pPr>
              <w:jc w:val="center"/>
              <w:rPr>
                <w:sz w:val="26"/>
                <w:szCs w:val="26"/>
              </w:rPr>
            </w:pPr>
            <w:r w:rsidRPr="00EF3BFB">
              <w:rPr>
                <w:b/>
                <w:bCs/>
                <w:sz w:val="26"/>
                <w:szCs w:val="26"/>
              </w:rPr>
              <w:t>Độc lập-Tự do-Hạnh phúc</w:t>
            </w:r>
          </w:p>
        </w:tc>
      </w:tr>
      <w:tr w:rsidR="00866D72" w:rsidRPr="00EF3BFB" w14:paraId="2DBE9892" w14:textId="77777777" w:rsidTr="00F31B26">
        <w:tc>
          <w:tcPr>
            <w:tcW w:w="5388" w:type="dxa"/>
          </w:tcPr>
          <w:p w14:paraId="40B43FC7" w14:textId="77777777" w:rsidR="00866D72" w:rsidRPr="00EF3BFB" w:rsidRDefault="00866D72" w:rsidP="00F31B26">
            <w:pPr>
              <w:jc w:val="center"/>
            </w:pPr>
          </w:p>
        </w:tc>
        <w:tc>
          <w:tcPr>
            <w:tcW w:w="5244" w:type="dxa"/>
          </w:tcPr>
          <w:p w14:paraId="5DFF7F2C" w14:textId="77777777" w:rsidR="00866D72" w:rsidRPr="00EF3BFB" w:rsidRDefault="00866D72" w:rsidP="00F31B26">
            <w:pPr>
              <w:jc w:val="center"/>
              <w:rPr>
                <w:b/>
                <w:bCs/>
              </w:rPr>
            </w:pPr>
            <w:r w:rsidRPr="00EF3BFB">
              <w:rPr>
                <w:b/>
                <w:bCs/>
                <w:noProof/>
              </w:rPr>
              <mc:AlternateContent>
                <mc:Choice Requires="wps">
                  <w:drawing>
                    <wp:anchor distT="0" distB="0" distL="114300" distR="114300" simplePos="0" relativeHeight="251660288" behindDoc="0" locked="0" layoutInCell="1" allowOverlap="1" wp14:anchorId="7C078892" wp14:editId="480F45DF">
                      <wp:simplePos x="0" y="0"/>
                      <wp:positionH relativeFrom="column">
                        <wp:posOffset>683953</wp:posOffset>
                      </wp:positionH>
                      <wp:positionV relativeFrom="paragraph">
                        <wp:posOffset>15875</wp:posOffset>
                      </wp:positionV>
                      <wp:extent cx="1801091" cy="0"/>
                      <wp:effectExtent l="0" t="0" r="0" b="0"/>
                      <wp:wrapNone/>
                      <wp:docPr id="743916215" name="Straight Connector 2"/>
                      <wp:cNvGraphicFramePr/>
                      <a:graphic xmlns:a="http://schemas.openxmlformats.org/drawingml/2006/main">
                        <a:graphicData uri="http://schemas.microsoft.com/office/word/2010/wordprocessingShape">
                          <wps:wsp>
                            <wps:cNvCnPr/>
                            <wps:spPr>
                              <a:xfrm>
                                <a:off x="0" y="0"/>
                                <a:ext cx="1801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1C6B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85pt,1.25pt" to="19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m3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" strokecolor="black [3200]" strokeweight=".5pt">
                      <v:stroke joinstyle="miter"/>
                    </v:line>
                  </w:pict>
                </mc:Fallback>
              </mc:AlternateContent>
            </w:r>
          </w:p>
        </w:tc>
      </w:tr>
      <w:tr w:rsidR="00866D72" w:rsidRPr="00EF3BFB" w14:paraId="51FBA5DC" w14:textId="77777777" w:rsidTr="00F31B26">
        <w:tc>
          <w:tcPr>
            <w:tcW w:w="5388" w:type="dxa"/>
          </w:tcPr>
          <w:p w14:paraId="03EFEDDD" w14:textId="62C19955" w:rsidR="00866D72" w:rsidRPr="00E154BB" w:rsidRDefault="00866D72" w:rsidP="00F31B26">
            <w:pPr>
              <w:jc w:val="center"/>
              <w:rPr>
                <w:sz w:val="26"/>
                <w:szCs w:val="26"/>
              </w:rPr>
            </w:pPr>
            <w:r w:rsidRPr="00E154BB">
              <w:rPr>
                <w:sz w:val="26"/>
                <w:szCs w:val="26"/>
              </w:rPr>
              <w:t xml:space="preserve">Số: </w:t>
            </w:r>
            <w:r w:rsidR="00DB1C74" w:rsidRPr="00E154BB">
              <w:rPr>
                <w:sz w:val="26"/>
                <w:szCs w:val="26"/>
              </w:rPr>
              <w:t>02</w:t>
            </w:r>
            <w:r w:rsidRPr="00E154BB">
              <w:rPr>
                <w:sz w:val="26"/>
                <w:szCs w:val="26"/>
              </w:rPr>
              <w:t>/CTr-CĐCS</w:t>
            </w:r>
          </w:p>
        </w:tc>
        <w:tc>
          <w:tcPr>
            <w:tcW w:w="5244" w:type="dxa"/>
          </w:tcPr>
          <w:p w14:paraId="2684DC14" w14:textId="0F072531" w:rsidR="00866D72" w:rsidRPr="00E154BB" w:rsidRDefault="00866D72" w:rsidP="00F31B26">
            <w:pPr>
              <w:jc w:val="center"/>
              <w:rPr>
                <w:i/>
                <w:iCs/>
                <w:sz w:val="26"/>
                <w:szCs w:val="26"/>
              </w:rPr>
            </w:pPr>
            <w:r w:rsidRPr="00E154BB">
              <w:rPr>
                <w:i/>
                <w:iCs/>
                <w:sz w:val="26"/>
                <w:szCs w:val="26"/>
              </w:rPr>
              <w:t>TT.Vĩnh Thuận, ngày 14 tháng 01 năm 2025</w:t>
            </w:r>
          </w:p>
        </w:tc>
      </w:tr>
    </w:tbl>
    <w:p w14:paraId="7DDC6A2C" w14:textId="389B61E9"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xml:space="preserve"> </w:t>
      </w:r>
    </w:p>
    <w:p w14:paraId="4D202DD7" w14:textId="6485D8D6" w:rsidR="00866D72" w:rsidRPr="00866D72" w:rsidRDefault="00866D72" w:rsidP="00DB1C74">
      <w:pPr>
        <w:spacing w:after="0" w:line="240" w:lineRule="auto"/>
        <w:ind w:firstLine="720"/>
        <w:jc w:val="center"/>
        <w:rPr>
          <w:rFonts w:cs="Times New Roman"/>
          <w:b/>
          <w:bCs/>
          <w:sz w:val="28"/>
          <w:szCs w:val="28"/>
        </w:rPr>
      </w:pPr>
      <w:r w:rsidRPr="00866D72">
        <w:rPr>
          <w:rFonts w:cs="Times New Roman"/>
          <w:b/>
          <w:bCs/>
          <w:sz w:val="28"/>
          <w:szCs w:val="28"/>
        </w:rPr>
        <w:t>CHƯƠNG TRÌNH</w:t>
      </w:r>
    </w:p>
    <w:p w14:paraId="668B829F" w14:textId="6BB86A37" w:rsidR="00866D72" w:rsidRDefault="00866D72" w:rsidP="00DB1C74">
      <w:pPr>
        <w:spacing w:after="0" w:line="240" w:lineRule="auto"/>
        <w:ind w:firstLine="720"/>
        <w:jc w:val="center"/>
        <w:rPr>
          <w:rFonts w:cs="Times New Roman"/>
          <w:b/>
          <w:bCs/>
          <w:sz w:val="28"/>
          <w:szCs w:val="28"/>
        </w:rPr>
      </w:pPr>
      <w:r w:rsidRPr="00866D72">
        <w:rPr>
          <w:rFonts w:cs="Times New Roman"/>
          <w:b/>
          <w:bCs/>
          <w:sz w:val="28"/>
          <w:szCs w:val="28"/>
        </w:rPr>
        <w:t>Công tác công đoàn năm 2025</w:t>
      </w:r>
    </w:p>
    <w:p w14:paraId="6428C467" w14:textId="1CCFA762" w:rsidR="00DB1C74" w:rsidRPr="00866D72" w:rsidRDefault="00DB1C74" w:rsidP="00866D72">
      <w:pPr>
        <w:spacing w:before="120" w:after="120" w:line="240" w:lineRule="auto"/>
        <w:ind w:firstLine="720"/>
        <w:jc w:val="center"/>
        <w:rPr>
          <w:rFonts w:cs="Times New Roman"/>
          <w:b/>
          <w:bCs/>
          <w:sz w:val="28"/>
          <w:szCs w:val="28"/>
        </w:rPr>
      </w:pPr>
      <w:r w:rsidRPr="00EF3BFB">
        <w:rPr>
          <w:b/>
          <w:bCs/>
          <w:noProof/>
        </w:rPr>
        <mc:AlternateContent>
          <mc:Choice Requires="wps">
            <w:drawing>
              <wp:anchor distT="0" distB="0" distL="114300" distR="114300" simplePos="0" relativeHeight="251662336" behindDoc="0" locked="0" layoutInCell="1" allowOverlap="1" wp14:anchorId="48EA26E1" wp14:editId="1CBD5021">
                <wp:simplePos x="0" y="0"/>
                <wp:positionH relativeFrom="column">
                  <wp:posOffset>2644775</wp:posOffset>
                </wp:positionH>
                <wp:positionV relativeFrom="paragraph">
                  <wp:posOffset>22699</wp:posOffset>
                </wp:positionV>
                <wp:extent cx="1201003" cy="0"/>
                <wp:effectExtent l="0" t="0" r="0" b="0"/>
                <wp:wrapNone/>
                <wp:docPr id="2034753960" name="Straight Connector 2"/>
                <wp:cNvGraphicFramePr/>
                <a:graphic xmlns:a="http://schemas.openxmlformats.org/drawingml/2006/main">
                  <a:graphicData uri="http://schemas.microsoft.com/office/word/2010/wordprocessingShape">
                    <wps:wsp>
                      <wps:cNvCnPr/>
                      <wps:spPr>
                        <a:xfrm>
                          <a:off x="0" y="0"/>
                          <a:ext cx="1201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16022C"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25pt,1.8pt" to="30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" strokecolor="black [3200]" strokeweight=".5pt">
                <v:stroke joinstyle="miter"/>
              </v:line>
            </w:pict>
          </mc:Fallback>
        </mc:AlternateContent>
      </w:r>
    </w:p>
    <w:p w14:paraId="111EEEB9"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Năm 2025 là năm có ý nghĩa rất quan trọng, năm diễn ra Đại hội Đảng bộ huyện Vĩnh Thuận lần thứ XIII, tiến tới Đại hội XII Đảng bộ tỉnh Kiên Giang, nhiệm kỳ 2025-2030; là năm sẽ diễn ra các hoạt động kỷ niệm các ngày lễ lớn, sự kiện quan trọng của đất nước chào mừng Đại hội Đảng các cấp.</w:t>
      </w:r>
    </w:p>
    <w:p w14:paraId="6AB8E454" w14:textId="4B1DC442"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xml:space="preserve">Căn cứ Chương trình số </w:t>
      </w:r>
      <w:r w:rsidR="00D725F2">
        <w:rPr>
          <w:rFonts w:cs="Times New Roman"/>
          <w:sz w:val="28"/>
          <w:szCs w:val="28"/>
        </w:rPr>
        <w:t>06</w:t>
      </w:r>
      <w:r w:rsidRPr="00866D72">
        <w:rPr>
          <w:rFonts w:cs="Times New Roman"/>
          <w:sz w:val="28"/>
          <w:szCs w:val="28"/>
        </w:rPr>
        <w:t xml:space="preserve">/CTr-LĐLĐ, ngày </w:t>
      </w:r>
      <w:r w:rsidR="00D725F2">
        <w:rPr>
          <w:rFonts w:cs="Times New Roman"/>
          <w:sz w:val="28"/>
          <w:szCs w:val="28"/>
        </w:rPr>
        <w:t>13</w:t>
      </w:r>
      <w:r w:rsidRPr="00866D72">
        <w:rPr>
          <w:rFonts w:cs="Times New Roman"/>
          <w:sz w:val="28"/>
          <w:szCs w:val="28"/>
        </w:rPr>
        <w:t xml:space="preserve">/01/2025 của Ban Thường vụ Liên đoàn Lao động </w:t>
      </w:r>
      <w:r w:rsidR="00D725F2">
        <w:rPr>
          <w:rFonts w:cs="Times New Roman"/>
          <w:sz w:val="28"/>
          <w:szCs w:val="28"/>
        </w:rPr>
        <w:t>huyện Vĩnh Thuận</w:t>
      </w:r>
      <w:r w:rsidRPr="00866D72">
        <w:rPr>
          <w:rFonts w:cs="Times New Roman"/>
          <w:sz w:val="28"/>
          <w:szCs w:val="28"/>
        </w:rPr>
        <w:t xml:space="preserve"> về công tác công đoàn năm 2025; Nghị quyết </w:t>
      </w:r>
      <w:r w:rsidRPr="00461B02">
        <w:rPr>
          <w:rFonts w:cs="Times New Roman"/>
          <w:sz w:val="28"/>
          <w:szCs w:val="28"/>
        </w:rPr>
        <w:t>Đại hội XI</w:t>
      </w:r>
      <w:r w:rsidR="00461B02" w:rsidRPr="00461B02">
        <w:rPr>
          <w:rFonts w:cs="Times New Roman"/>
          <w:sz w:val="28"/>
          <w:szCs w:val="28"/>
        </w:rPr>
        <w:t>I</w:t>
      </w:r>
      <w:r w:rsidRPr="00461B02">
        <w:rPr>
          <w:rFonts w:cs="Times New Roman"/>
          <w:sz w:val="28"/>
          <w:szCs w:val="28"/>
        </w:rPr>
        <w:t xml:space="preserve"> </w:t>
      </w:r>
      <w:r w:rsidRPr="00866D72">
        <w:rPr>
          <w:rFonts w:cs="Times New Roman"/>
          <w:sz w:val="28"/>
          <w:szCs w:val="28"/>
        </w:rPr>
        <w:t xml:space="preserve">Công đoàn </w:t>
      </w:r>
      <w:r w:rsidR="00D725F2">
        <w:rPr>
          <w:rFonts w:cs="Times New Roman"/>
          <w:sz w:val="28"/>
          <w:szCs w:val="28"/>
        </w:rPr>
        <w:t>trường THCS Thị Trấn</w:t>
      </w:r>
      <w:r w:rsidRPr="00866D72">
        <w:rPr>
          <w:rFonts w:cs="Times New Roman"/>
          <w:sz w:val="28"/>
          <w:szCs w:val="28"/>
        </w:rPr>
        <w:t xml:space="preserve">, nhiệm kỳ 2023-2028; Ban Chấp hành </w:t>
      </w:r>
      <w:r w:rsidR="00D725F2">
        <w:rPr>
          <w:rFonts w:cs="Times New Roman"/>
          <w:sz w:val="28"/>
          <w:szCs w:val="28"/>
        </w:rPr>
        <w:t>Công đoàn Cơ sở</w:t>
      </w:r>
      <w:r w:rsidRPr="00866D72">
        <w:rPr>
          <w:rFonts w:cs="Times New Roman"/>
          <w:sz w:val="28"/>
          <w:szCs w:val="28"/>
        </w:rPr>
        <w:t xml:space="preserve"> (</w:t>
      </w:r>
      <w:r w:rsidR="00D725F2">
        <w:rPr>
          <w:rFonts w:cs="Times New Roman"/>
          <w:sz w:val="28"/>
          <w:szCs w:val="28"/>
        </w:rPr>
        <w:t>CĐCS</w:t>
      </w:r>
      <w:r w:rsidRPr="00866D72">
        <w:rPr>
          <w:rFonts w:cs="Times New Roman"/>
          <w:sz w:val="28"/>
          <w:szCs w:val="28"/>
        </w:rPr>
        <w:t xml:space="preserve">) </w:t>
      </w:r>
      <w:r w:rsidR="00D725F2">
        <w:rPr>
          <w:rFonts w:cs="Times New Roman"/>
          <w:sz w:val="28"/>
          <w:szCs w:val="28"/>
        </w:rPr>
        <w:t>trường THCS Thị Trấn</w:t>
      </w:r>
      <w:r w:rsidRPr="00866D72">
        <w:rPr>
          <w:rFonts w:cs="Times New Roman"/>
          <w:sz w:val="28"/>
          <w:szCs w:val="28"/>
        </w:rPr>
        <w:t xml:space="preserve"> ban hành Chương trình công tác công đoàn năm 2025, cụ thể như sau:</w:t>
      </w:r>
    </w:p>
    <w:p w14:paraId="521C6266" w14:textId="77777777"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1. CHỦ ĐỀ HOẠT ĐỘNG</w:t>
      </w:r>
    </w:p>
    <w:p w14:paraId="25F7D4DF"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“Tập trung phát triển đoàn viên; tham gia xây dựng Đảng trong sạch, vững mạnh".</w:t>
      </w:r>
    </w:p>
    <w:p w14:paraId="2FAE457B" w14:textId="77777777"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II. CÁC CHỈ TIÊU CHỦ YẾU</w:t>
      </w:r>
    </w:p>
    <w:p w14:paraId="4BAC4AB0" w14:textId="1CE79844"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Phát triển đoàn viên công đoàn</w:t>
      </w:r>
      <w:r w:rsidR="00D725F2">
        <w:rPr>
          <w:rFonts w:cs="Times New Roman"/>
          <w:sz w:val="28"/>
          <w:szCs w:val="28"/>
        </w:rPr>
        <w:t xml:space="preserve"> (</w:t>
      </w:r>
      <w:r w:rsidRPr="00866D72">
        <w:rPr>
          <w:rFonts w:cs="Times New Roman"/>
          <w:sz w:val="28"/>
          <w:szCs w:val="28"/>
        </w:rPr>
        <w:t>khi có đủ điều kiện).</w:t>
      </w:r>
    </w:p>
    <w:p w14:paraId="2BBA14F6"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Có 96% trở lên đoàn viên, người lao động được tuyên truyền, phổ biến, học tập, quán triệt chủ trương, nghị quyết của Đảng, chính sách, pháp luật của Nhà nước liên quan đến lao động và công đoàn.</w:t>
      </w:r>
    </w:p>
    <w:p w14:paraId="1CC2DEBC" w14:textId="6B9539C0"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t xml:space="preserve">- </w:t>
      </w:r>
      <w:r w:rsidR="00D725F2">
        <w:rPr>
          <w:rFonts w:cs="Times New Roman"/>
          <w:sz w:val="28"/>
          <w:szCs w:val="28"/>
        </w:rPr>
        <w:t>C</w:t>
      </w:r>
      <w:r w:rsidRPr="00866D72">
        <w:rPr>
          <w:rFonts w:cs="Times New Roman"/>
          <w:sz w:val="28"/>
          <w:szCs w:val="28"/>
        </w:rPr>
        <w:t>ông đoàn cơ sở tham gia với thủ trưởng, người sử dụng lao động ban hành, thực hiện quy chế dân chủ ở cơ sở.</w:t>
      </w:r>
    </w:p>
    <w:p w14:paraId="7AE7A311" w14:textId="4AB60DFD"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t xml:space="preserve">- </w:t>
      </w:r>
      <w:r w:rsidR="00D725F2">
        <w:rPr>
          <w:rFonts w:cs="Times New Roman"/>
          <w:sz w:val="28"/>
          <w:szCs w:val="28"/>
        </w:rPr>
        <w:t>G</w:t>
      </w:r>
      <w:r w:rsidRPr="00866D72">
        <w:rPr>
          <w:rFonts w:cs="Times New Roman"/>
          <w:sz w:val="28"/>
          <w:szCs w:val="28"/>
        </w:rPr>
        <w:t>iới thiệu ít nhất 01 đoàn viên ưu tú cho Đảng xem xét, bồi dưỡng kết nạp.</w:t>
      </w:r>
    </w:p>
    <w:p w14:paraId="2367BC0A" w14:textId="45437B6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Chủ tịch công đoàn cơ sở bầu mới được tập huấn, bồi dưỡng với hình thức phù hợp.</w:t>
      </w:r>
    </w:p>
    <w:p w14:paraId="4663B637" w14:textId="36964CC1"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xml:space="preserve">- </w:t>
      </w:r>
      <w:r w:rsidR="00D725F2">
        <w:rPr>
          <w:rFonts w:cs="Times New Roman"/>
          <w:sz w:val="28"/>
          <w:szCs w:val="28"/>
        </w:rPr>
        <w:t>C</w:t>
      </w:r>
      <w:r w:rsidRPr="00866D72">
        <w:rPr>
          <w:rFonts w:cs="Times New Roman"/>
          <w:sz w:val="28"/>
          <w:szCs w:val="28"/>
        </w:rPr>
        <w:t>ông đoàn cơ sở được xếp loại hoàn thành</w:t>
      </w:r>
      <w:r w:rsidRPr="00866D72">
        <w:rPr>
          <w:rFonts w:cs="Times New Roman"/>
          <w:sz w:val="28"/>
          <w:szCs w:val="28"/>
        </w:rPr>
        <w:t xml:space="preserve"> </w:t>
      </w:r>
      <w:r w:rsidRPr="00866D72">
        <w:rPr>
          <w:rFonts w:cs="Times New Roman"/>
          <w:sz w:val="28"/>
          <w:szCs w:val="28"/>
        </w:rPr>
        <w:t>tốt nhiệm vụ.</w:t>
      </w:r>
    </w:p>
    <w:p w14:paraId="7A523B36" w14:textId="713D2F58" w:rsidR="00866D72" w:rsidRPr="00866D72" w:rsidRDefault="00D725F2" w:rsidP="00866D72">
      <w:pPr>
        <w:spacing w:before="120" w:after="120" w:line="240" w:lineRule="auto"/>
        <w:ind w:firstLine="720"/>
        <w:jc w:val="both"/>
        <w:rPr>
          <w:rFonts w:cs="Times New Roman"/>
          <w:sz w:val="28"/>
          <w:szCs w:val="28"/>
        </w:rPr>
      </w:pPr>
      <w:r>
        <w:rPr>
          <w:rFonts w:cs="Times New Roman"/>
          <w:sz w:val="28"/>
          <w:szCs w:val="28"/>
        </w:rPr>
        <w:t xml:space="preserve">- </w:t>
      </w:r>
      <w:r w:rsidR="00866D72" w:rsidRPr="00866D72">
        <w:rPr>
          <w:rFonts w:cs="Times New Roman"/>
          <w:sz w:val="28"/>
          <w:szCs w:val="28"/>
        </w:rPr>
        <w:t>Thực hiện 01 cuộc kiểm tra tài chính công đoàn đối và kiểm tra, giám sát</w:t>
      </w:r>
      <w:r>
        <w:rPr>
          <w:rFonts w:cs="Times New Roman"/>
          <w:sz w:val="28"/>
          <w:szCs w:val="28"/>
        </w:rPr>
        <w:t xml:space="preserve"> 01 cuộc</w:t>
      </w:r>
      <w:r w:rsidR="00866D72" w:rsidRPr="00866D72">
        <w:rPr>
          <w:rFonts w:cs="Times New Roman"/>
          <w:sz w:val="28"/>
          <w:szCs w:val="28"/>
        </w:rPr>
        <w:t xml:space="preserve"> việc chấp hành Điều lệ Công đoàn Việt Nam.</w:t>
      </w:r>
    </w:p>
    <w:p w14:paraId="3FB681A6"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Phấn đấu 80% trở lên số vụ việc về lao động khởi kiện tại tòa án được công đoàn hỗ trợ, tham gia tố tụng bảo vệ khi đoàn viên có yêu cầu.</w:t>
      </w:r>
    </w:p>
    <w:p w14:paraId="5798A108" w14:textId="1A608FD3"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xml:space="preserve">- </w:t>
      </w:r>
      <w:r w:rsidR="00D725F2">
        <w:rPr>
          <w:rFonts w:cs="Times New Roman"/>
          <w:sz w:val="28"/>
          <w:szCs w:val="28"/>
        </w:rPr>
        <w:t>C</w:t>
      </w:r>
      <w:r w:rsidRPr="00866D72">
        <w:rPr>
          <w:rFonts w:cs="Times New Roman"/>
          <w:sz w:val="28"/>
          <w:szCs w:val="28"/>
        </w:rPr>
        <w:t>ông đoàn cơ sở tổ chức các hoạt động Tháng Công nhân năm 2025.</w:t>
      </w:r>
    </w:p>
    <w:p w14:paraId="0F02F114" w14:textId="77777777" w:rsidR="00A400B6" w:rsidRDefault="00A400B6" w:rsidP="00866D72">
      <w:pPr>
        <w:spacing w:before="120" w:after="120" w:line="240" w:lineRule="auto"/>
        <w:ind w:firstLine="720"/>
        <w:jc w:val="both"/>
        <w:rPr>
          <w:rFonts w:cs="Times New Roman"/>
          <w:b/>
          <w:bCs/>
          <w:sz w:val="28"/>
          <w:szCs w:val="28"/>
        </w:rPr>
      </w:pPr>
    </w:p>
    <w:p w14:paraId="1E23237F" w14:textId="496A531A"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lastRenderedPageBreak/>
        <w:t>III. NHIỆM VỤ VÀ GIẢI PHÁP CHỦ YẾU</w:t>
      </w:r>
    </w:p>
    <w:p w14:paraId="45157217" w14:textId="77777777"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1. Đại diện, bảo vệ quyền, lợi ích hợp pháp, chính đáng của đoàn viên và người lao động</w:t>
      </w:r>
    </w:p>
    <w:p w14:paraId="62C6A39C" w14:textId="17372896"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t xml:space="preserve">- </w:t>
      </w:r>
      <w:r w:rsidRPr="00866D72">
        <w:rPr>
          <w:rFonts w:cs="Times New Roman"/>
          <w:sz w:val="28"/>
          <w:szCs w:val="28"/>
        </w:rPr>
        <w:t>Quán triệt, triển khai thực hiện Luật Công đoàn và các văn bản hướng dẫn thực hiện Luật Công đoàn (sửa đổi). Tích cực nghiên cứu, đề xuất và tham gia xây dựng chính sách, pháp luật liên quan đến quyền lợi của người lao động, tập trung như: Luật việc làm (sửa đổi), Luật Bảo hiểm xã hội (sửa đổi), Luật Bảo hiểm Y tế và các văn bản pháp luật khác có liên quan.</w:t>
      </w:r>
    </w:p>
    <w:p w14:paraId="797F8DE8"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Tăng cường công tác nắm bắt thông tin, tâm tư, nguyện vọng, lắng nghe phản ánh từ đoàn viên, CNVCLĐ, người lao động về thực hiện chế độ, chính sách. Đẩy mạnh công tác tuyên truyền, chỉ đạo, hướng dẫn thực hiện dân chủ cơ sở theo Luật thực hiện dân chủ cơ sở và hướng dẫn của Tổng Liên đoàn; chú trọng công tác kiểm tra, giám sát việc thực hiện dân chủ cơ sở tại nơi làm việc ở các cơ quan, đơn vị.</w:t>
      </w:r>
    </w:p>
    <w:p w14:paraId="6C747A16" w14:textId="2D73EF40" w:rsidR="00B75CCA"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Chủ trì, phối hợp với các cơ quan chức năng kiểm tra, giám sát việc thực hiện các chính sách, pháp luật liên quan trực tiếp đến NLĐ và hoạt động công đoàn như còn nợ đọng kinh phí công đoàn, nợ bảo hiểm xã hội (nếu có).</w:t>
      </w:r>
    </w:p>
    <w:p w14:paraId="7AEE0D0B" w14:textId="420DAE61" w:rsidR="00866D72" w:rsidRPr="00866D72" w:rsidRDefault="00D725F2" w:rsidP="00866D72">
      <w:pPr>
        <w:spacing w:before="120" w:after="120" w:line="240" w:lineRule="auto"/>
        <w:ind w:firstLine="720"/>
        <w:jc w:val="both"/>
        <w:rPr>
          <w:rFonts w:cs="Times New Roman"/>
          <w:sz w:val="28"/>
          <w:szCs w:val="28"/>
        </w:rPr>
      </w:pPr>
      <w:r>
        <w:rPr>
          <w:rFonts w:cs="Times New Roman"/>
          <w:sz w:val="28"/>
          <w:szCs w:val="28"/>
        </w:rPr>
        <w:t xml:space="preserve">- </w:t>
      </w:r>
      <w:r w:rsidR="00866D72" w:rsidRPr="00866D72">
        <w:rPr>
          <w:rFonts w:cs="Times New Roman"/>
          <w:sz w:val="28"/>
          <w:szCs w:val="28"/>
        </w:rPr>
        <w:t>Đẩy mạnh công tác tư vấn pháp luật, nâng cao năng lực hỗ trợ pháp lý cho đoàn viên, người lao động, nhằm đảm bảo đoàn viên, người lao động được tư vấn và hỗ trợ pháp lý kịp thời khi có yêu cầu.</w:t>
      </w:r>
    </w:p>
    <w:p w14:paraId="19776B6A" w14:textId="77777777"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2. Chăm lo lợi ích cho đoàn viên và người lao động</w:t>
      </w:r>
    </w:p>
    <w:p w14:paraId="15608446"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Triển khai Chương trình hành động thực hiện Nghị quyết Đại hội XI Công đoàn tỉnh về “Đẩy mạnh chăm lo lợi ích cho đoàn viên và người lao động” giao đoạn 2023-2028 và Chương trình hành động thực hiện Nghị quyết Đại hội XI Công đoàn huyện Vĩnh Thuận về “Huy động mọi nguồn lực xã hội đẩy mạnh chăm lo cho đoàn viên, CNVCLĐ” giai đoạn 2023-2028, trọng tâm là triển khai có hiệu quả các giải pháp về tập trung nguồn lực chăm lo phúc lợi cho đoàn viên, người lao động trong tình hình mới.</w:t>
      </w:r>
    </w:p>
    <w:p w14:paraId="32BF1ED6"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Tổ chức tốt các hoạt động chăm lo Tết cho đoàn viên, NLĐ dịp Tết Nguyên đán Ất Tỵ năm 2025. Tổ chức các hoạt động, chương trình “Tết Sum vầy, xuân ơn Đảng” cấp huyện nhằm chăm lo thiết thực cho đoàn viên, người lao động dịp tết đến xuân về.</w:t>
      </w:r>
    </w:p>
    <w:p w14:paraId="690ED46D"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Triển khai Chương trình phúc lợi cho đoàn viên, CNVCLĐ trên địa bàn huyện do công đoàn ký kết.</w:t>
      </w:r>
    </w:p>
    <w:p w14:paraId="78F84DE2"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Tiếp tục vận động “Quỹ xã hội công đoàn” để kịp thời chăm lo, hỗ trợ xây dựng, sửa chữa nhà ở cho đoàn viên, CNVCLĐ khó khăn về nhà ở để ổn định cuộc sống, yên tâm công tác.</w:t>
      </w:r>
    </w:p>
    <w:p w14:paraId="68D0D3B5" w14:textId="77777777"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3. Công tác tuyên truyền, vận động</w:t>
      </w:r>
    </w:p>
    <w:p w14:paraId="21140D69" w14:textId="6CDB2BFB"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t xml:space="preserve">- </w:t>
      </w:r>
      <w:r w:rsidRPr="00866D72">
        <w:rPr>
          <w:rFonts w:cs="Times New Roman"/>
          <w:sz w:val="28"/>
          <w:szCs w:val="28"/>
        </w:rPr>
        <w:t>Tổ chức các hoạt động tuyên truyền kỷ niệm các ngày lễ lớn, các sự kiện trọng đại của đất nước như: kỷ niệm 95 năm Ngày thành lập Đảng Cộng sản Việt</w:t>
      </w:r>
      <w:r>
        <w:rPr>
          <w:rFonts w:cs="Times New Roman"/>
          <w:sz w:val="28"/>
          <w:szCs w:val="28"/>
        </w:rPr>
        <w:t xml:space="preserve"> </w:t>
      </w:r>
      <w:r w:rsidRPr="00866D72">
        <w:rPr>
          <w:rFonts w:cs="Times New Roman"/>
          <w:sz w:val="28"/>
          <w:szCs w:val="28"/>
        </w:rPr>
        <w:lastRenderedPageBreak/>
        <w:t>Nam (3/2/1930-3/2/2025); 50 năm Ngày giải phóng hoàn toàn Miền Nam thống nhất đất nước (30/4/1975-30/4/2025); 135 năm Ngày sinh Chủ tịch Hồ Chí Minh (19/5/1890-19/5/2025); 80 năm ngày Cách mạng tháng Tám thành công và Quốc khánh Nước Cộng hòa xã hội chủ nghĩa Việt Nam (2/9/1945-2/9/2025). Đẩy mạnh tuyên truyền Nghị quyết số 02-NQ/TW ngày 12/6/2021 của Bộ Chính trị về “Đổi</w:t>
      </w:r>
      <w:r w:rsidRPr="00866D72">
        <w:rPr>
          <w:rFonts w:cs="Times New Roman"/>
          <w:sz w:val="28"/>
          <w:szCs w:val="28"/>
        </w:rPr>
        <w:t xml:space="preserve"> </w:t>
      </w:r>
      <w:r w:rsidRPr="00866D72">
        <w:rPr>
          <w:rFonts w:cs="Times New Roman"/>
          <w:sz w:val="28"/>
          <w:szCs w:val="28"/>
        </w:rPr>
        <w:t>mới tổ chức và hoạt động của Công đoàn Việt Nam trong tình hình mới”; Nghị quyết Đại hội XI Công đoàn huyện Vĩnh Thuận, Nghị quyết Đại hội XI Công đoàn tỉnh Kiên Giang và Nghị quyết XIII Công đoàn Việt Nam, nhiệm kỳ 2023-2028. Đẩy mạnh học tập và làm theo tư tưởng, đạo đức, phong cách Hồ Chí Minh trong cán bộ, đoàn viên, CNVCLĐ theo tinh thần Kết luận số 01-KL/TW, ngày 18/5/2021 của Bộ Chính trị, góp phần thực hiện tốt vai trò, trách nhiệm nêu gương của cán bộ, đảng viên, người đứng đầu cơ quan công đoàn các cấp.</w:t>
      </w:r>
    </w:p>
    <w:p w14:paraId="19532E9E"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Tập trung tuyên truyền, tích cực tham gia các nội dung của Đại hội Đảng bộ các cấp; Đại hội đại biểu toàn quốc lần thứ XIV của Đảng; tiếp tục đổi mới, nâng cao hiệu quả tuyên truyền để đoàn viên, CNVCLĐ hiểu, nắm rõ các chủ trương của Đảng, chính sách, pháp luật của Nhà nước, Huyện ủy, Tỉnh ủy, Tổng Liên đoàn, các chỉ đạo, giải pháp của Ủy ban nhân dân huyện, tỉnh, các cấp công đoàn, góp phần củng cố và nâng cao nhận thức về giai cấp công nhân, về Đảng, về Công đoàn, năng lực tự bảo vệ quyền lợi hợp pháp của CNVCLĐ.</w:t>
      </w:r>
    </w:p>
    <w:p w14:paraId="27302317"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Tổ chức các hoạt động Tháng Công nhân năm 2025 gắn với Tháng hành động về an toàn, vệ sinh lao động.</w:t>
      </w:r>
    </w:p>
    <w:p w14:paraId="7CBEEBF7"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Tổ chức bồi dưỡng nghiệp vụ, nâng cao năng lực cho đội ngũ cán bộ công đoàn cơ sở; nâng cao chất lượng nội dung tuyên truyền cộng tác đăng trên các trang thông tin điện tử của Tỉnh, huyện, phát trên sóng truyền thanh huyện đảm bảo thông tin chính xác, có tính thời sự cao, nhằm phục vụ đầy đủ, kịp thời nhu cầu tìm hiểu thông tin, cập nhật kiến thức về kinh tế - văn hóa - xã hội - công đoàn cho đoàn viên, CNVCLĐ trên địa bàn.</w:t>
      </w:r>
    </w:p>
    <w:p w14:paraId="436F4EED" w14:textId="77777777"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4. Thi đua lập thành tích chào mừng các ngày lễ, ngày kỷ niệm lớn của đất nước và đại hội đảng bộ các cấp</w:t>
      </w:r>
    </w:p>
    <w:p w14:paraId="2033BF07"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Tiếp tục thực hiện tốt Chị thị số 34-CT/TW, ngày 07/4/2014 của Bộ Chính trị về “Tiếp tục đổi mới công tác thi đua, khen thưởng". Đẩy mạnh tuyên truyền Nghị định số 98/2023/NĐ-CP, ngày 31/12/2023 của Chính phủ Quy định chi tiết thi hành một số điều của Luật Thi đua, khen thưởng. Chỉ đạo công đoàn cơ sở tiếp tục đổi mới nội dung, hình thức thi đua phù hợp với điều kiện thực tế của cơ quan, đơn vị.</w:t>
      </w:r>
    </w:p>
    <w:p w14:paraId="301C5519" w14:textId="7053E66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Tổ chức Hội nghị tuyên dương điển hình tiên tiến trong các cấp công đoàn huyện Vĩnh Thuận, tiến tới Đại hội thi đua yêu nước tỉnh Kiên Giang lần thứ VI và Đại hội thi đua yêu nước trong công nhân, viên chức, lao động toàn quốc lần thứ XI, năm 2025. Phát động phong trào thi đua trong CNVCLĐ và tổ chức Công đoàn lập thành tích chào mừng Đại hội Đảng bộ các cấp, nhiệm kỳ 2025 - 2030. Phát</w:t>
      </w:r>
      <w:r w:rsidRPr="00866D72">
        <w:rPr>
          <w:rFonts w:cs="Times New Roman"/>
          <w:sz w:val="28"/>
          <w:szCs w:val="28"/>
        </w:rPr>
        <w:t xml:space="preserve"> </w:t>
      </w:r>
      <w:r w:rsidRPr="00866D72">
        <w:rPr>
          <w:rFonts w:cs="Times New Roman"/>
          <w:sz w:val="28"/>
          <w:szCs w:val="28"/>
        </w:rPr>
        <w:t xml:space="preserve">động phong trào thi đua thường xuyên, thi đua theo các chuyên đề; nâng cao chất lượng phong trào “Lao động giỏi, Lao động sáng tạo”; phong trào “Xanh - </w:t>
      </w:r>
      <w:r w:rsidRPr="00866D72">
        <w:rPr>
          <w:rFonts w:cs="Times New Roman"/>
          <w:sz w:val="28"/>
          <w:szCs w:val="28"/>
        </w:rPr>
        <w:lastRenderedPageBreak/>
        <w:t>sạch -đẹp, đảm bảo ATVSLĐ” găn với việc nâng cao năng suất lao động, hiệu quả công</w:t>
      </w:r>
      <w:r>
        <w:rPr>
          <w:rFonts w:cs="Times New Roman"/>
          <w:sz w:val="28"/>
          <w:szCs w:val="28"/>
        </w:rPr>
        <w:t xml:space="preserve"> </w:t>
      </w:r>
      <w:r w:rsidRPr="00866D72">
        <w:rPr>
          <w:rFonts w:cs="Times New Roman"/>
          <w:sz w:val="28"/>
          <w:szCs w:val="28"/>
        </w:rPr>
        <w:t>tác góp phần hoàn thành chỉ tiêu, nhiệm vụ năm 2025. Đổi mới nội dung, triển khai phong trào "Tham mưu giỏi, Phục vụ tốt" trong cán bộ, đoàn viên, CNVCLĐ; nâng cao chất lượng, hiệu quả cuộc vận động “Cán bộ, công chức, viên chức nói không với tiêu cực".</w:t>
      </w:r>
    </w:p>
    <w:p w14:paraId="49F9768D" w14:textId="77777777"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5. Phát triển đoàn viên, thành lập công đoàn cơ sở, xây dựng tổ chức công đoàn vững mạnh</w:t>
      </w:r>
    </w:p>
    <w:p w14:paraId="0245CA3B"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Quán triệt, triển khai Điều lệ và Hướng dẫn thi hành Điều lệ Công đoàn Việt Nam (khóa XIII). Triển khai thực hiện các giải pháp đẩy mạnh công tác phát triển đoàn viên, thành lập công đoàn cơ sở tại doanh nghiệp khu vực ngoài nhà nước, đồng thời đẩy mạnh các giải pháp tuyên truyền, vận động, kết nạp đoàn viên, thành lập CĐCS; đa dạng hóa cách thức tiếp cận, vận động người lao động gắn với tuyên truyền về vai trò, vị trí, đóng góp của tổ chức công đoàn.</w:t>
      </w:r>
    </w:p>
    <w:p w14:paraId="4A6BE617" w14:textId="64F1E483"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t xml:space="preserve">- </w:t>
      </w:r>
      <w:r w:rsidRPr="00866D72">
        <w:rPr>
          <w:rFonts w:cs="Times New Roman"/>
          <w:sz w:val="28"/>
          <w:szCs w:val="28"/>
        </w:rPr>
        <w:t>Triển khai Kế hoạch đào tạo, bồi dưỡng cán bộ công đoàn giai đoạn 2023-2028 của Ban Chấp hành Liên đoàn Lao động tỉnh Kiên Giang và cử cán bộ công đoàn chuyên trách tham gia tập huấn theo thư triệu tập của Tỉnh. Thực hiện tốt công tác quy hoạch, đào tạo, quản lý cán bộ theo chủ trương của Đảng, làm tốt công tác tạo nguồn, bồi dưỡng đội ngũ cán bộ kế cận.</w:t>
      </w:r>
    </w:p>
    <w:p w14:paraId="2866E417"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Tăng cường tham gia xây dựng Đảng, chính quyền trong sạch vững mạnh; thực hiện tốt công tác giám sát, phân biện xã hội, góp ý xây dựng Đảng, xây dựng chính quyền theo Quyết định số 217-QĐ/TW, Quyết định số 218-QĐ/TW, ngày 12/12/2013 của Bộ Chính trị (khóa XI); giới thiệu cán bộ công đoàn tham gia ứng cử vào cấp ủy tại Đại hội Đảng bộ các cấp; chú trọng công tác giới thiệu đoàn viên ưu tú cho Đảng bồi dưỡng, xem xét kết nạp.</w:t>
      </w:r>
    </w:p>
    <w:p w14:paraId="5B4F67E0" w14:textId="0E4907C5"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6. Công tác nữ công</w:t>
      </w:r>
    </w:p>
    <w:p w14:paraId="71F22B3B"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Tiếp tục quán triệt và triển khai thực hiện Kết luận số 1500b/KL-TLĐ, ngày 08/01/2021 của Tổng Liên đoàn về việc tiếp tục thực hiện Nghị quyết 06b/NQ-TLĐ ngày 29/01/2011 về công tác vận động nữ CNVCLĐ và Chỉ thị số 03/CT-TLĐ ngày 18/8/2010 về tiếp tục đẩy mạnh phong trào thi đua “Giỏi việc nước, đảm việc nhà” trong nữ CNVCLĐ, góp phần tích cực xây dựng người phụ nữ Việt Nam thời đại mới.</w:t>
      </w:r>
    </w:p>
    <w:p w14:paraId="72715ECE"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Tăng cường công tác bảo vệ quyền và lợi ích hợp pháp chính đáng của lao động nữ; tổ chức các hoạt động chăm lo cho con đoàn viên, CNVCLĐ; tích cực tham gia thực hiện Chiến lược phát triển gia đình Việt Nam đến năm 2030 theo Quyết định số 2238/QĐ-TTg, ngày 30/12/2021 của Thủ tướng Chính phủ trong đoàn viên, NLĐ. Đẩy mạnh triển khai kế hoạch thực hiện Chương trình phối hợp giữa LĐLĐ huyện với Hội LHPN huyện về tổ chức các hoạt động trong nữ cán bộ, công chức, viên chức và CNLĐ giai đoạn 2022-2027 và các hoạt động “Tết Quân -Dân" năm 2026.</w:t>
      </w:r>
    </w:p>
    <w:p w14:paraId="024F0617" w14:textId="3C4396EF"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lastRenderedPageBreak/>
        <w:t xml:space="preserve">- </w:t>
      </w:r>
      <w:r w:rsidRPr="00866D72">
        <w:rPr>
          <w:rFonts w:cs="Times New Roman"/>
          <w:sz w:val="28"/>
          <w:szCs w:val="28"/>
        </w:rPr>
        <w:t>Tổ chức mở lớp tập huấn, bồi dưỡng nghiệp vụ, kỹ năng tuyên truyền, kỹ năng hoạt động cho cán bộ làm công tác nữ công công đoàn các cấp. Đổi mới nội dung, phương thức hoạt động của Ban nữ công công đoàn các cấp.</w:t>
      </w:r>
    </w:p>
    <w:p w14:paraId="2CA96092" w14:textId="77777777"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7. Công tác tài chính công đoàn</w:t>
      </w:r>
    </w:p>
    <w:p w14:paraId="78EA8E11"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Tiếp tục đôn đốc để thu đúng, thu đủ và kịp thời, chống thất thu kinh phí, đoàn phí công đoàn. Tập trung chỉ các hoạt động quan trọng, nhiệm vụ cấp bách của công đoàn các cấp, thực hiện tăng chi trực tiếp cho đoàn viên, NLĐ.</w:t>
      </w:r>
    </w:p>
    <w:p w14:paraId="59590887"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Tăng cường công tác quản lý và sử dụng tài chính, tài sản công đoàn theo đúng quy định của Nhà nước và Tổng Liên đoàn. Tập trung kiểm tra, giám sát việc thực hiện các quy chế, quy định về quản lý tài chính, tài sản công đoàn; tăng cường công tác kiểm tra tài chính, nhất là kiểm tra tài chính đồng cấp và thực hiện công khai minh bạch tài chính công đoàn các cấp.</w:t>
      </w:r>
    </w:p>
    <w:p w14:paraId="1BA6E5C7" w14:textId="47A901AD"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8. Công tác kiểm tra, giám sát công đoàn</w:t>
      </w:r>
    </w:p>
    <w:p w14:paraId="1D539123" w14:textId="557A37F4"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t xml:space="preserve">- </w:t>
      </w:r>
      <w:r w:rsidRPr="00866D72">
        <w:rPr>
          <w:rFonts w:cs="Times New Roman"/>
          <w:sz w:val="28"/>
          <w:szCs w:val="28"/>
        </w:rPr>
        <w:t>Triển khai kế hoạch kiểm tra, giám sát công đoàn năm 2025; tổng kết 10 năm thực hiện Nghị quyết 066/NQ-TLĐ ngày 03/8/2015 về “Nâng cao chất lượng, hiệu quả hoạt động ủy ban kiểm tra công đoàn” và 05 năm thực hiện Kết luận số 01/KL-BCH ngày 15/3/2021 của Ban Chấp hành Tổng Liên đoàn khóa XII về tiếp tục thực hiện Nghị quyết 06b/NQ-TLĐ ngày 03/8/2015.</w:t>
      </w:r>
    </w:p>
    <w:p w14:paraId="29F3BB71" w14:textId="36ABDFD3"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t xml:space="preserve">- </w:t>
      </w:r>
      <w:r w:rsidRPr="00866D72">
        <w:rPr>
          <w:rFonts w:cs="Times New Roman"/>
          <w:sz w:val="28"/>
          <w:szCs w:val="28"/>
        </w:rPr>
        <w:t>Nâng cao hiệu quả hoạt động ủy ban kiểm tra công đoàn, phát huy vai trò của công tác kiểm tra, giám sát trong xây dựng tổ chức công đoàn, chủ động phát hiện những khuyết điểm, tồn tại để điều chỉnh, hoàn thiện. Triển khai quyết liệt, thường xuyên, toàn diện công tác kiểm tra trong đó chú trọng kiểm tra, giám sát về tài chính công đoàn, kịp thời phát hiện, chấn chỉnh những tồn tại, thiếu sót trong công tác quản lý tài chính, tài sản.</w:t>
      </w:r>
    </w:p>
    <w:p w14:paraId="066A9BB8"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Chỉ đạo, hướng dẫn ủy ban kiểm tra công đoàn cơ sở chủ động nắm tình hình, phát hiện và kiểm tra kịp thời khi có dấu hiệu vi phạm Điều lệ, Nghị quyết, chỉ thị và các quy định của công đoàn. Kịp thời giải quyết và tham gia giải quyết đơn thư, khiếu nại, tố cáo của đoàn viên, NLĐ; thực hiện tốt quy định về tiếp đoàn viên và NLĐ đến kiến nghị, phản ánh, khiếu nại, tố cáo.</w:t>
      </w:r>
    </w:p>
    <w:p w14:paraId="42E4A820" w14:textId="4E021943"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Thường xuyên kiện toàn đội ngũ cán bộ ủy ban kiểm tra công đoàn cơ sở có bản lĩnh, kiến thức, kinh nghiệm và tỉnh thông nghiệp vụ kiểm tra. Tiếp tục tổ chức các lớp bồi dưỡng, hướng dẫn nghiệp vụ cho cán bộ làm công tác kiểm tra công đoàn các cấp, đặc biệt là đối với cán bộ mới lần đầu tham gia ủy ban kiểm tra.</w:t>
      </w:r>
    </w:p>
    <w:p w14:paraId="5912BC00" w14:textId="7AB67592" w:rsidR="00866D72" w:rsidRPr="00866D72" w:rsidRDefault="00866D72" w:rsidP="00866D72">
      <w:pPr>
        <w:spacing w:before="120" w:after="120" w:line="240" w:lineRule="auto"/>
        <w:ind w:firstLine="720"/>
        <w:jc w:val="both"/>
        <w:rPr>
          <w:rFonts w:cs="Times New Roman"/>
          <w:b/>
          <w:bCs/>
          <w:sz w:val="28"/>
          <w:szCs w:val="28"/>
        </w:rPr>
      </w:pPr>
      <w:r w:rsidRPr="00866D72">
        <w:rPr>
          <w:rFonts w:cs="Times New Roman"/>
          <w:b/>
          <w:bCs/>
          <w:sz w:val="28"/>
          <w:szCs w:val="28"/>
        </w:rPr>
        <w:t>9</w:t>
      </w:r>
      <w:r w:rsidRPr="00866D72">
        <w:rPr>
          <w:rFonts w:cs="Times New Roman"/>
          <w:b/>
          <w:bCs/>
          <w:sz w:val="28"/>
          <w:szCs w:val="28"/>
        </w:rPr>
        <w:t>. Công tác phối hợp, chỉ đạo và tổ chức thực hiện nhiệm vụ</w:t>
      </w:r>
    </w:p>
    <w:p w14:paraId="3EC326D0" w14:textId="77777777" w:rsidR="00866D72" w:rsidRP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xml:space="preserve">- Tập trung chỉ đạo triển khai hiệu quả các chỉ tiêu, nhiệm vụ, chương trình đã đề ra theo Nghị quyết Đại hội công đoàn các cấp, Nghị quyết Đại hội XIII Công đoàn Việt Nam, nhiệm kỳ 2023-2028, Nghị quyết số 02-NQ/TW, ngày 12/6/2021 của Bộ Chính trị về “Đổi mới tổ chức và hoạt động của Công đoàn Việt Nam trong tình hình mới". Tiếp tục đổi mới phương thức hoạt động công đoàn theo hướng lấy đoàn viên, NLĐ làm trung tâm; cấp trên phục vụ cấp dưới, công </w:t>
      </w:r>
      <w:r w:rsidRPr="00866D72">
        <w:rPr>
          <w:rFonts w:cs="Times New Roman"/>
          <w:sz w:val="28"/>
          <w:szCs w:val="28"/>
        </w:rPr>
        <w:lastRenderedPageBreak/>
        <w:t>đoàn cơ sở gắn bó và phục vụ đoàn viên, NLĐ; phát huy dân chủ đi đôi với tăng cường kỷ luật, kỷ cương.</w:t>
      </w:r>
    </w:p>
    <w:p w14:paraId="62EB690B" w14:textId="798EDB83" w:rsidR="00866D72" w:rsidRPr="00866D72" w:rsidRDefault="00866D72" w:rsidP="00866D72">
      <w:pPr>
        <w:spacing w:before="120" w:after="120" w:line="240" w:lineRule="auto"/>
        <w:ind w:firstLine="720"/>
        <w:jc w:val="both"/>
        <w:rPr>
          <w:rFonts w:cs="Times New Roman"/>
          <w:sz w:val="28"/>
          <w:szCs w:val="28"/>
        </w:rPr>
      </w:pPr>
      <w:r>
        <w:rPr>
          <w:rFonts w:cs="Times New Roman"/>
          <w:sz w:val="28"/>
          <w:szCs w:val="28"/>
        </w:rPr>
        <w:t xml:space="preserve">- </w:t>
      </w:r>
      <w:r w:rsidRPr="00866D72">
        <w:rPr>
          <w:rFonts w:cs="Times New Roman"/>
          <w:sz w:val="28"/>
          <w:szCs w:val="28"/>
        </w:rPr>
        <w:t>Triển khai Kế hoạch thực hiện cải cách hành chính, ứng dụng công nghệ thông tin phục vụ hoạt động công đoàn; thực hiện tốt Chương trình chuyên đổi số toàn diện trong hoạt động công đoàn do Tổng Liên đoàn triển khai, góp phần tạo</w:t>
      </w:r>
      <w:r w:rsidRPr="00866D72">
        <w:rPr>
          <w:rFonts w:cs="Times New Roman"/>
          <w:sz w:val="28"/>
          <w:szCs w:val="28"/>
        </w:rPr>
        <w:t xml:space="preserve"> </w:t>
      </w:r>
      <w:r w:rsidRPr="00866D72">
        <w:rPr>
          <w:rFonts w:cs="Times New Roman"/>
          <w:sz w:val="28"/>
          <w:szCs w:val="28"/>
        </w:rPr>
        <w:t>đột phá trong phương thức lãnh đạo, chỉ đạo, điều hành hoạt động công đoàn. Đổi mới, nâng cao chất lượng xây dựng, ban hành và triển khai các nghị quyết, chương trình, kế hoạch của các cấp công đoàn theo hướng thiết thực ngắn gọn, khả thi, sát thực tiễn, dễ thực hiện.</w:t>
      </w:r>
    </w:p>
    <w:p w14:paraId="046E6D53" w14:textId="5854DE94" w:rsidR="00866D72" w:rsidRDefault="00866D72" w:rsidP="00866D72">
      <w:pPr>
        <w:spacing w:before="120" w:after="120" w:line="240" w:lineRule="auto"/>
        <w:ind w:firstLine="720"/>
        <w:jc w:val="both"/>
        <w:rPr>
          <w:rFonts w:cs="Times New Roman"/>
          <w:sz w:val="28"/>
          <w:szCs w:val="28"/>
        </w:rPr>
      </w:pPr>
      <w:r w:rsidRPr="00866D72">
        <w:rPr>
          <w:rFonts w:cs="Times New Roman"/>
          <w:sz w:val="28"/>
          <w:szCs w:val="28"/>
        </w:rPr>
        <w:t xml:space="preserve">Trên đây là chương trình công tác Công đoàn năm 2025 của Ban Chấp hành </w:t>
      </w:r>
      <w:r w:rsidR="00D725F2">
        <w:rPr>
          <w:rFonts w:cs="Times New Roman"/>
          <w:sz w:val="28"/>
          <w:szCs w:val="28"/>
        </w:rPr>
        <w:t>Công đoàn cơ sở trường THCS Thị Trấn</w:t>
      </w:r>
      <w:r w:rsidRPr="00866D72">
        <w:rPr>
          <w:rFonts w:cs="Times New Roman"/>
          <w:sz w:val="28"/>
          <w:szCs w:val="28"/>
        </w:rPr>
        <w:t>./.</w:t>
      </w:r>
    </w:p>
    <w:p w14:paraId="351779FA" w14:textId="77777777" w:rsidR="00D725F2" w:rsidRDefault="00D725F2" w:rsidP="00866D72">
      <w:pPr>
        <w:spacing w:before="120" w:after="120" w:line="240" w:lineRule="auto"/>
        <w:ind w:firstLine="720"/>
        <w:jc w:val="both"/>
        <w:rPr>
          <w:rFonts w:cs="Times New Roman"/>
          <w:sz w:val="28"/>
          <w:szCs w:val="28"/>
        </w:rPr>
      </w:pPr>
    </w:p>
    <w:tbl>
      <w:tblPr>
        <w:tblW w:w="0" w:type="auto"/>
        <w:tblLook w:val="04A0" w:firstRow="1" w:lastRow="0" w:firstColumn="1" w:lastColumn="0" w:noHBand="0" w:noVBand="1"/>
      </w:tblPr>
      <w:tblGrid>
        <w:gridCol w:w="4528"/>
        <w:gridCol w:w="4544"/>
      </w:tblGrid>
      <w:tr w:rsidR="00D725F2" w:rsidRPr="00F02B7D" w14:paraId="24E75705" w14:textId="77777777" w:rsidTr="00555331">
        <w:tc>
          <w:tcPr>
            <w:tcW w:w="4784" w:type="dxa"/>
            <w:shd w:val="clear" w:color="auto" w:fill="auto"/>
          </w:tcPr>
          <w:p w14:paraId="0BBEFE86" w14:textId="77777777" w:rsidR="00D725F2" w:rsidRPr="00F02B7D" w:rsidRDefault="00D725F2" w:rsidP="00D725F2">
            <w:pPr>
              <w:spacing w:after="0" w:line="240" w:lineRule="auto"/>
              <w:rPr>
                <w:b/>
                <w:sz w:val="28"/>
                <w:szCs w:val="28"/>
              </w:rPr>
            </w:pPr>
            <w:r w:rsidRPr="00F02B7D">
              <w:rPr>
                <w:color w:val="000000"/>
                <w:sz w:val="28"/>
                <w:szCs w:val="28"/>
              </w:rPr>
              <w:t> </w:t>
            </w:r>
            <w:r w:rsidRPr="00F02B7D">
              <w:rPr>
                <w:b/>
                <w:i/>
              </w:rPr>
              <w:t>Nơi nhận:</w:t>
            </w:r>
            <w:r w:rsidRPr="00F02B7D">
              <w:rPr>
                <w:sz w:val="28"/>
                <w:szCs w:val="28"/>
              </w:rPr>
              <w:t xml:space="preserve">  </w:t>
            </w:r>
            <w:r w:rsidRPr="00F02B7D">
              <w:rPr>
                <w:sz w:val="28"/>
                <w:szCs w:val="28"/>
              </w:rPr>
              <w:tab/>
            </w:r>
            <w:r w:rsidRPr="00F02B7D">
              <w:rPr>
                <w:sz w:val="28"/>
                <w:szCs w:val="28"/>
              </w:rPr>
              <w:tab/>
            </w:r>
            <w:r w:rsidRPr="00F02B7D">
              <w:rPr>
                <w:sz w:val="28"/>
                <w:szCs w:val="28"/>
              </w:rPr>
              <w:tab/>
            </w:r>
            <w:r w:rsidRPr="00F02B7D">
              <w:rPr>
                <w:sz w:val="28"/>
                <w:szCs w:val="28"/>
              </w:rPr>
              <w:tab/>
            </w:r>
            <w:r w:rsidRPr="00F02B7D">
              <w:rPr>
                <w:sz w:val="28"/>
                <w:szCs w:val="28"/>
              </w:rPr>
              <w:tab/>
              <w:t xml:space="preserve">         </w:t>
            </w:r>
          </w:p>
          <w:p w14:paraId="3937180C" w14:textId="77777777" w:rsidR="00D725F2" w:rsidRPr="00F02B7D" w:rsidRDefault="00D725F2" w:rsidP="00D725F2">
            <w:pPr>
              <w:spacing w:after="0" w:line="240" w:lineRule="auto"/>
              <w:rPr>
                <w:sz w:val="22"/>
              </w:rPr>
            </w:pPr>
            <w:r w:rsidRPr="00F02B7D">
              <w:rPr>
                <w:sz w:val="22"/>
              </w:rPr>
              <w:t>-</w:t>
            </w:r>
            <w:r w:rsidRPr="00F02B7D">
              <w:rPr>
                <w:sz w:val="28"/>
                <w:szCs w:val="28"/>
              </w:rPr>
              <w:t xml:space="preserve"> </w:t>
            </w:r>
            <w:r w:rsidRPr="00F02B7D">
              <w:rPr>
                <w:sz w:val="22"/>
              </w:rPr>
              <w:t>BTV LĐLĐ huyện;</w:t>
            </w:r>
          </w:p>
          <w:p w14:paraId="11A25523" w14:textId="77777777" w:rsidR="00D725F2" w:rsidRPr="00F02B7D" w:rsidRDefault="00D725F2" w:rsidP="00D725F2">
            <w:pPr>
              <w:spacing w:after="0" w:line="240" w:lineRule="auto"/>
              <w:rPr>
                <w:sz w:val="22"/>
              </w:rPr>
            </w:pPr>
            <w:r w:rsidRPr="00F02B7D">
              <w:rPr>
                <w:sz w:val="22"/>
              </w:rPr>
              <w:t>- Ban Chi uỷ;</w:t>
            </w:r>
          </w:p>
          <w:p w14:paraId="1BA8CBDA" w14:textId="77777777" w:rsidR="00D725F2" w:rsidRPr="00F02B7D" w:rsidRDefault="00D725F2" w:rsidP="00D725F2">
            <w:pPr>
              <w:spacing w:after="0" w:line="240" w:lineRule="auto"/>
              <w:rPr>
                <w:bCs/>
                <w:sz w:val="22"/>
              </w:rPr>
            </w:pPr>
            <w:r w:rsidRPr="00F02B7D">
              <w:rPr>
                <w:bCs/>
                <w:sz w:val="22"/>
              </w:rPr>
              <w:t>- Ban Chấp hành;</w:t>
            </w:r>
          </w:p>
          <w:p w14:paraId="35A11D26" w14:textId="77777777" w:rsidR="00D725F2" w:rsidRPr="00F02B7D" w:rsidRDefault="00D725F2" w:rsidP="00D725F2">
            <w:pPr>
              <w:spacing w:after="0" w:line="240" w:lineRule="auto"/>
              <w:rPr>
                <w:bCs/>
                <w:sz w:val="22"/>
              </w:rPr>
            </w:pPr>
            <w:r w:rsidRPr="00F02B7D">
              <w:rPr>
                <w:bCs/>
                <w:sz w:val="22"/>
              </w:rPr>
              <w:t>- Đoàn viên, người lao động;</w:t>
            </w:r>
          </w:p>
          <w:p w14:paraId="00E80211" w14:textId="77777777" w:rsidR="00D725F2" w:rsidRPr="00F02B7D" w:rsidRDefault="00D725F2" w:rsidP="00D725F2">
            <w:pPr>
              <w:spacing w:after="0" w:line="240" w:lineRule="auto"/>
              <w:rPr>
                <w:sz w:val="22"/>
              </w:rPr>
            </w:pPr>
            <w:r w:rsidRPr="00F02B7D">
              <w:rPr>
                <w:b/>
                <w:sz w:val="22"/>
              </w:rPr>
              <w:t>-</w:t>
            </w:r>
            <w:r w:rsidRPr="00F02B7D">
              <w:rPr>
                <w:sz w:val="22"/>
              </w:rPr>
              <w:t xml:space="preserve"> Lưu: CĐCS.</w:t>
            </w:r>
          </w:p>
        </w:tc>
        <w:tc>
          <w:tcPr>
            <w:tcW w:w="4786" w:type="dxa"/>
            <w:shd w:val="clear" w:color="auto" w:fill="auto"/>
          </w:tcPr>
          <w:p w14:paraId="5FA3EFAF" w14:textId="77777777" w:rsidR="00D725F2" w:rsidRPr="00F02B7D" w:rsidRDefault="00D725F2" w:rsidP="00D725F2">
            <w:pPr>
              <w:spacing w:after="0" w:line="240" w:lineRule="auto"/>
              <w:jc w:val="center"/>
              <w:rPr>
                <w:b/>
                <w:sz w:val="28"/>
                <w:szCs w:val="28"/>
              </w:rPr>
            </w:pPr>
            <w:r w:rsidRPr="00F02B7D">
              <w:rPr>
                <w:b/>
                <w:sz w:val="28"/>
                <w:szCs w:val="28"/>
              </w:rPr>
              <w:t>TM. BAN CHẤP HÀNH</w:t>
            </w:r>
          </w:p>
          <w:p w14:paraId="2F2EFE8B" w14:textId="77777777" w:rsidR="00D725F2" w:rsidRPr="00F02B7D" w:rsidRDefault="00D725F2" w:rsidP="00D725F2">
            <w:pPr>
              <w:spacing w:after="0" w:line="240" w:lineRule="auto"/>
              <w:jc w:val="center"/>
              <w:rPr>
                <w:b/>
                <w:sz w:val="28"/>
                <w:szCs w:val="28"/>
              </w:rPr>
            </w:pPr>
            <w:r w:rsidRPr="00F02B7D">
              <w:rPr>
                <w:b/>
                <w:sz w:val="28"/>
                <w:szCs w:val="28"/>
              </w:rPr>
              <w:t>CHỦ TỊCH</w:t>
            </w:r>
          </w:p>
          <w:p w14:paraId="38E7E400" w14:textId="77777777" w:rsidR="00D725F2" w:rsidRPr="00F02B7D" w:rsidRDefault="00D725F2" w:rsidP="00D725F2">
            <w:pPr>
              <w:spacing w:after="0" w:line="240" w:lineRule="auto"/>
              <w:jc w:val="center"/>
              <w:rPr>
                <w:i/>
                <w:noProof/>
                <w:sz w:val="28"/>
                <w:szCs w:val="28"/>
              </w:rPr>
            </w:pPr>
          </w:p>
          <w:p w14:paraId="3322B51C" w14:textId="77777777" w:rsidR="00D725F2" w:rsidRPr="00F02B7D" w:rsidRDefault="00D725F2" w:rsidP="00D725F2">
            <w:pPr>
              <w:spacing w:after="0" w:line="240" w:lineRule="auto"/>
              <w:jc w:val="center"/>
              <w:rPr>
                <w:b/>
                <w:i/>
                <w:noProof/>
                <w:sz w:val="28"/>
                <w:szCs w:val="28"/>
              </w:rPr>
            </w:pPr>
          </w:p>
          <w:p w14:paraId="558AB63B" w14:textId="77777777" w:rsidR="00D725F2" w:rsidRPr="00F02B7D" w:rsidRDefault="00D725F2" w:rsidP="00D725F2">
            <w:pPr>
              <w:spacing w:after="0" w:line="240" w:lineRule="auto"/>
              <w:rPr>
                <w:b/>
                <w:i/>
                <w:noProof/>
                <w:sz w:val="28"/>
                <w:szCs w:val="28"/>
              </w:rPr>
            </w:pPr>
          </w:p>
          <w:p w14:paraId="457DE514" w14:textId="77777777" w:rsidR="00D725F2" w:rsidRPr="00F02B7D" w:rsidRDefault="00D725F2" w:rsidP="00D725F2">
            <w:pPr>
              <w:spacing w:after="0" w:line="240" w:lineRule="auto"/>
              <w:jc w:val="center"/>
              <w:rPr>
                <w:b/>
                <w:sz w:val="28"/>
                <w:szCs w:val="28"/>
              </w:rPr>
            </w:pPr>
          </w:p>
          <w:p w14:paraId="09C9FC79" w14:textId="77777777" w:rsidR="00D725F2" w:rsidRPr="00F02B7D" w:rsidRDefault="00D725F2" w:rsidP="00D725F2">
            <w:pPr>
              <w:spacing w:after="0" w:line="240" w:lineRule="auto"/>
              <w:jc w:val="center"/>
              <w:rPr>
                <w:b/>
                <w:sz w:val="28"/>
                <w:szCs w:val="28"/>
              </w:rPr>
            </w:pPr>
            <w:r w:rsidRPr="00F02B7D">
              <w:rPr>
                <w:b/>
                <w:sz w:val="28"/>
                <w:szCs w:val="28"/>
              </w:rPr>
              <w:t>Nguyễn Trung Giang</w:t>
            </w:r>
          </w:p>
        </w:tc>
      </w:tr>
    </w:tbl>
    <w:p w14:paraId="4DE316C8" w14:textId="6591217F" w:rsidR="00D725F2" w:rsidRDefault="00D725F2" w:rsidP="00866D72">
      <w:pPr>
        <w:spacing w:before="120" w:after="120" w:line="240" w:lineRule="auto"/>
        <w:ind w:firstLine="720"/>
        <w:jc w:val="both"/>
        <w:rPr>
          <w:rFonts w:cs="Times New Roman"/>
          <w:sz w:val="28"/>
          <w:szCs w:val="28"/>
        </w:rPr>
      </w:pPr>
    </w:p>
    <w:p w14:paraId="41F16A8B" w14:textId="77777777" w:rsidR="00D725F2" w:rsidRPr="00866D72" w:rsidRDefault="00D725F2" w:rsidP="00866D72">
      <w:pPr>
        <w:spacing w:before="120" w:after="120" w:line="240" w:lineRule="auto"/>
        <w:ind w:firstLine="720"/>
        <w:jc w:val="both"/>
        <w:rPr>
          <w:rFonts w:cs="Times New Roman"/>
          <w:sz w:val="28"/>
          <w:szCs w:val="28"/>
        </w:rPr>
      </w:pPr>
    </w:p>
    <w:sectPr w:rsidR="00D725F2" w:rsidRPr="00866D72" w:rsidSect="00A400B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4DCC" w14:textId="77777777" w:rsidR="00ED583E" w:rsidRDefault="00ED583E" w:rsidP="00866D72">
      <w:pPr>
        <w:spacing w:after="0" w:line="240" w:lineRule="auto"/>
      </w:pPr>
      <w:r>
        <w:separator/>
      </w:r>
    </w:p>
  </w:endnote>
  <w:endnote w:type="continuationSeparator" w:id="0">
    <w:p w14:paraId="3F5CBBB4" w14:textId="77777777" w:rsidR="00ED583E" w:rsidRDefault="00ED583E" w:rsidP="0086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1A904" w14:textId="77777777" w:rsidR="00ED583E" w:rsidRDefault="00ED583E" w:rsidP="00866D72">
      <w:pPr>
        <w:spacing w:after="0" w:line="240" w:lineRule="auto"/>
      </w:pPr>
      <w:r>
        <w:separator/>
      </w:r>
    </w:p>
  </w:footnote>
  <w:footnote w:type="continuationSeparator" w:id="0">
    <w:p w14:paraId="33AEAF45" w14:textId="77777777" w:rsidR="00ED583E" w:rsidRDefault="00ED583E" w:rsidP="0086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844418"/>
      <w:docPartObj>
        <w:docPartGallery w:val="Page Numbers (Top of Page)"/>
        <w:docPartUnique/>
      </w:docPartObj>
    </w:sdtPr>
    <w:sdtEndPr>
      <w:rPr>
        <w:noProof/>
      </w:rPr>
    </w:sdtEndPr>
    <w:sdtContent>
      <w:p w14:paraId="2AF0F360" w14:textId="64D02911" w:rsidR="00866D72" w:rsidRDefault="00866D7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4E2F65" w14:textId="77777777" w:rsidR="00866D72" w:rsidRDefault="00866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72"/>
    <w:rsid w:val="00007DCB"/>
    <w:rsid w:val="004230BF"/>
    <w:rsid w:val="00447D95"/>
    <w:rsid w:val="00461B02"/>
    <w:rsid w:val="004A7833"/>
    <w:rsid w:val="00560D93"/>
    <w:rsid w:val="00746CD8"/>
    <w:rsid w:val="00866D72"/>
    <w:rsid w:val="008E3ADE"/>
    <w:rsid w:val="009B68C3"/>
    <w:rsid w:val="00A400B6"/>
    <w:rsid w:val="00B75CCA"/>
    <w:rsid w:val="00BC21D6"/>
    <w:rsid w:val="00C555FE"/>
    <w:rsid w:val="00D725F2"/>
    <w:rsid w:val="00DB1C74"/>
    <w:rsid w:val="00E154BB"/>
    <w:rsid w:val="00E35DCC"/>
    <w:rsid w:val="00ED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1D6D"/>
  <w15:chartTrackingRefBased/>
  <w15:docId w15:val="{D4B0E6D9-78F7-4198-8685-6F63348A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D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6D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6D7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6D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6D7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66D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6D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6D7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6D7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D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6D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6D7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6D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66D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66D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6D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6D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6D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6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D7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D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6D72"/>
    <w:pPr>
      <w:spacing w:before="160"/>
      <w:jc w:val="center"/>
    </w:pPr>
    <w:rPr>
      <w:i/>
      <w:iCs/>
      <w:color w:val="404040" w:themeColor="text1" w:themeTint="BF"/>
    </w:rPr>
  </w:style>
  <w:style w:type="character" w:customStyle="1" w:styleId="QuoteChar">
    <w:name w:val="Quote Char"/>
    <w:basedOn w:val="DefaultParagraphFont"/>
    <w:link w:val="Quote"/>
    <w:uiPriority w:val="29"/>
    <w:rsid w:val="00866D72"/>
    <w:rPr>
      <w:i/>
      <w:iCs/>
      <w:color w:val="404040" w:themeColor="text1" w:themeTint="BF"/>
    </w:rPr>
  </w:style>
  <w:style w:type="paragraph" w:styleId="ListParagraph">
    <w:name w:val="List Paragraph"/>
    <w:basedOn w:val="Normal"/>
    <w:uiPriority w:val="34"/>
    <w:qFormat/>
    <w:rsid w:val="00866D72"/>
    <w:pPr>
      <w:ind w:left="720"/>
      <w:contextualSpacing/>
    </w:pPr>
  </w:style>
  <w:style w:type="character" w:styleId="IntenseEmphasis">
    <w:name w:val="Intense Emphasis"/>
    <w:basedOn w:val="DefaultParagraphFont"/>
    <w:uiPriority w:val="21"/>
    <w:qFormat/>
    <w:rsid w:val="00866D72"/>
    <w:rPr>
      <w:i/>
      <w:iCs/>
      <w:color w:val="2F5496" w:themeColor="accent1" w:themeShade="BF"/>
    </w:rPr>
  </w:style>
  <w:style w:type="paragraph" w:styleId="IntenseQuote">
    <w:name w:val="Intense Quote"/>
    <w:basedOn w:val="Normal"/>
    <w:next w:val="Normal"/>
    <w:link w:val="IntenseQuoteChar"/>
    <w:uiPriority w:val="30"/>
    <w:qFormat/>
    <w:rsid w:val="00866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6D72"/>
    <w:rPr>
      <w:i/>
      <w:iCs/>
      <w:color w:val="2F5496" w:themeColor="accent1" w:themeShade="BF"/>
    </w:rPr>
  </w:style>
  <w:style w:type="character" w:styleId="IntenseReference">
    <w:name w:val="Intense Reference"/>
    <w:basedOn w:val="DefaultParagraphFont"/>
    <w:uiPriority w:val="32"/>
    <w:qFormat/>
    <w:rsid w:val="00866D72"/>
    <w:rPr>
      <w:b/>
      <w:bCs/>
      <w:smallCaps/>
      <w:color w:val="2F5496" w:themeColor="accent1" w:themeShade="BF"/>
      <w:spacing w:val="5"/>
    </w:rPr>
  </w:style>
  <w:style w:type="table" w:styleId="TableGrid">
    <w:name w:val="Table Grid"/>
    <w:basedOn w:val="TableNormal"/>
    <w:uiPriority w:val="39"/>
    <w:rsid w:val="0086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D72"/>
  </w:style>
  <w:style w:type="paragraph" w:styleId="Footer">
    <w:name w:val="footer"/>
    <w:basedOn w:val="Normal"/>
    <w:link w:val="FooterChar"/>
    <w:uiPriority w:val="99"/>
    <w:unhideWhenUsed/>
    <w:rsid w:val="00866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Giang</dc:creator>
  <cp:keywords/>
  <dc:description/>
  <cp:lastModifiedBy>Trung Giang</cp:lastModifiedBy>
  <cp:revision>7</cp:revision>
  <cp:lastPrinted>2025-02-21T07:59:00Z</cp:lastPrinted>
  <dcterms:created xsi:type="dcterms:W3CDTF">2025-02-21T01:17:00Z</dcterms:created>
  <dcterms:modified xsi:type="dcterms:W3CDTF">2025-02-21T08:00:00Z</dcterms:modified>
</cp:coreProperties>
</file>